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UNGER LAURA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 MADISON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eToro Group Ltd.</w:t>
              </w:r>
            </w:hyperlink>
            <w:r>
              <w:rPr/>
              <w:t xml:space="preserve"> [ </w:t>
            </w:r>
            <w:r>
              <w:rPr>
                <w:rFonts w:ascii="Times;serif" w:hAnsi="Times;serif"/>
                <w:color w:val="0000FF"/>
                <w:sz w:val="24"/>
                <w:shd w:fill="FFFFFF" w:val="clear"/>
              </w:rPr>
              <w:t>ETOR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5,220</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each of which represents a contingent right to receive one Class A common shares of eToro Group Ltd. The RSUs shall fully vest on July 1, 2027, subject to the Reporting Person's continued service to the Company or its subsidiaries through the vesting date.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Netta Cohen on behalf of Oppenheimer Israel,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5992" TargetMode="External"/><Relationship Id="rId5" Type="http://schemas.openxmlformats.org/officeDocument/2006/relationships/hyperlink" Target="http://www.sec.gov/cgi-bin/browse-edgar?action=getcompany&amp;CIK=00014933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3343</Characters>
  <CharactersWithSpaces>3899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