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9805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980555"/>
                    </a:xfrm>
                    <a:prstGeom prst="rect">
                      <a:avLst/>
                    </a:prstGeom>
                    <a:noFill/>
                  </pic:spPr>
                </pic:pic>
              </a:graphicData>
            </a:graphic>
          </wp:anchor>
        </w:drawing>
      </w:r>
    </w:p>
    <w:p>
      <w:pPr>
        <w:spacing w:after="0" w:line="1222" w:lineRule="exact"/>
        <w:rPr>
          <w:sz w:val="24"/>
          <w:szCs w:val="24"/>
          <w:color w:val="auto"/>
        </w:rPr>
      </w:pPr>
    </w:p>
    <w:p>
      <w:pPr>
        <w:sectPr>
          <w:pgSz w:w="11900" w:h="16880"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POLITI SANTO</w:t>
              </w:r>
            </w:hyperlink>
          </w:p>
        </w:tc>
        <w:tc>
          <w:tcPr>
            <w:tcW w:w="16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eToro Group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ETOR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Borders>
              <w:bottom w:val="single" w:sz="8" w:color="0000EE"/>
            </w:tcBorders>
          </w:tcPr>
          <w:p>
            <w:pPr>
              <w:spacing w:after="0"/>
              <w:rPr>
                <w:sz w:val="6"/>
                <w:szCs w:val="6"/>
                <w:color w:val="auto"/>
              </w:rPr>
            </w:pPr>
          </w:p>
        </w:tc>
        <w:tc>
          <w:tcPr>
            <w:tcW w:w="2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1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6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16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00" w:type="dxa"/>
            <w:vAlign w:val="bottom"/>
            <w:vMerge w:val="restart"/>
          </w:tcPr>
          <w:p>
            <w:pPr>
              <w:ind w:left="4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16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05/14/2026</w:t>
            </w:r>
          </w:p>
        </w:tc>
        <w:tc>
          <w:tcPr>
            <w:tcW w:w="22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SPARK CAPITAL</w:t>
            </w:r>
          </w:p>
        </w:tc>
        <w:tc>
          <w:tcPr>
            <w:tcW w:w="160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22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137 NEWBURY STREET, 8TH FLOOR</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80" w:type="dxa"/>
            <w:vAlign w:val="bottom"/>
            <w:tcBorders>
              <w:bottom w:val="single" w:sz="8" w:color="2C2C2C"/>
            </w:tcBorders>
          </w:tcPr>
          <w:p>
            <w:pPr>
              <w:spacing w:after="0"/>
              <w:rPr>
                <w:sz w:val="12"/>
                <w:szCs w:val="12"/>
                <w:color w:val="auto"/>
              </w:rPr>
            </w:pPr>
          </w:p>
        </w:tc>
        <w:tc>
          <w:tcPr>
            <w:tcW w:w="22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80"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02116</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80"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480" w:type="dxa"/>
            <w:vAlign w:val="bottom"/>
          </w:tcPr>
          <w:p>
            <w:pPr>
              <w:spacing w:after="0"/>
              <w:rPr>
                <w:sz w:val="13"/>
                <w:szCs w:val="13"/>
                <w:color w:val="auto"/>
              </w:rPr>
            </w:pP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 or</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Indirect (I)</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480" w:type="dxa"/>
            <w:vAlign w:val="bottom"/>
            <w:tcBorders>
              <w:bottom w:val="single" w:sz="8" w:color="808080"/>
            </w:tcBorders>
          </w:tcPr>
          <w:p>
            <w:pPr>
              <w:spacing w:after="0"/>
              <w:rPr>
                <w:sz w:val="13"/>
                <w:szCs w:val="13"/>
                <w:color w:val="auto"/>
              </w:rPr>
            </w:pPr>
          </w:p>
        </w:tc>
        <w:tc>
          <w:tcPr>
            <w:tcW w:w="98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80" w:type="dxa"/>
            <w:vAlign w:val="bottom"/>
            <w:tcBorders>
              <w:bottom w:val="single" w:sz="8" w:color="808080"/>
            </w:tcBorders>
          </w:tcPr>
          <w:p>
            <w:pPr>
              <w:spacing w:after="0"/>
              <w:rPr>
                <w:sz w:val="13"/>
                <w:szCs w:val="13"/>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8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tcPr>
          <w:p>
            <w:pPr>
              <w:spacing w:after="0"/>
              <w:rPr>
                <w:sz w:val="7"/>
                <w:szCs w:val="7"/>
                <w:color w:val="auto"/>
              </w:rPr>
            </w:pPr>
          </w:p>
        </w:tc>
        <w:tc>
          <w:tcPr>
            <w:tcW w:w="98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80" w:type="dxa"/>
            <w:vAlign w:val="bottom"/>
            <w:tcBorders>
              <w:top w:val="single" w:sz="8" w:color="2C2C2C"/>
            </w:tcBorders>
          </w:tcPr>
          <w:p>
            <w:pPr>
              <w:spacing w:after="0"/>
              <w:rPr>
                <w:sz w:val="7"/>
                <w:szCs w:val="7"/>
                <w:color w:val="auto"/>
              </w:rPr>
            </w:pPr>
          </w:p>
        </w:tc>
        <w:tc>
          <w:tcPr>
            <w:tcW w:w="114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vMerge w:val="continue"/>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98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Spark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shares</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05/14/2026</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jc w:val="center"/>
              <w:ind w:left="78"/>
              <w:spacing w:after="0"/>
              <w:rPr>
                <w:sz w:val="20"/>
                <w:szCs w:val="20"/>
                <w:color w:val="auto"/>
              </w:rPr>
            </w:pPr>
            <w:r>
              <w:rPr>
                <w:rFonts w:ascii="Times New Roman" w:cs="Times New Roman" w:eastAsia="Times New Roman" w:hAnsi="Times New Roman"/>
                <w:sz w:val="13"/>
                <w:szCs w:val="13"/>
                <w:color w:val="0000FF"/>
              </w:rPr>
              <w:t>D</w:t>
            </w:r>
          </w:p>
        </w:tc>
        <w:tc>
          <w:tcPr>
            <w:tcW w:w="480" w:type="dxa"/>
            <w:vAlign w:val="bottom"/>
          </w:tcPr>
          <w:p>
            <w:pPr>
              <w:spacing w:after="0"/>
              <w:rPr>
                <w:sz w:val="18"/>
                <w:szCs w:val="18"/>
                <w:color w:val="auto"/>
              </w:rPr>
            </w:pPr>
          </w:p>
        </w:tc>
        <w:tc>
          <w:tcPr>
            <w:tcW w:w="98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1,779,504</w:t>
            </w:r>
            <w:r>
              <w:rPr>
                <w:rFonts w:ascii="Times New Roman" w:cs="Times New Roman" w:eastAsia="Times New Roman" w:hAnsi="Times New Roman"/>
                <w:sz w:val="22"/>
                <w:szCs w:val="22"/>
                <w:color w:val="008000"/>
                <w:w w:val="96"/>
                <w:vertAlign w:val="superscript"/>
              </w:rPr>
              <w:t>(1)</w:t>
            </w:r>
          </w:p>
        </w:tc>
        <w:tc>
          <w:tcPr>
            <w:tcW w:w="42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Pr>
          <w:p>
            <w:pPr>
              <w:jc w:val="center"/>
              <w:ind w:left="2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18"/>
                <w:szCs w:val="18"/>
                <w:color w:val="auto"/>
              </w:rPr>
            </w:pPr>
          </w:p>
        </w:tc>
        <w:tc>
          <w:tcPr>
            <w:tcW w:w="1320" w:type="dxa"/>
            <w:vAlign w:val="bottom"/>
            <w:gridSpan w:val="3"/>
          </w:tcPr>
          <w:p>
            <w:pPr>
              <w:jc w:val="center"/>
              <w:ind w:left="89"/>
              <w:spacing w:after="0"/>
              <w:rPr>
                <w:sz w:val="20"/>
                <w:szCs w:val="20"/>
                <w:color w:val="auto"/>
              </w:rPr>
            </w:pPr>
            <w:r>
              <w:rPr>
                <w:rFonts w:ascii="Times New Roman" w:cs="Times New Roman" w:eastAsia="Times New Roman" w:hAnsi="Times New Roman"/>
                <w:sz w:val="17"/>
                <w:szCs w:val="17"/>
                <w:color w:val="0000FF"/>
                <w:w w:val="99"/>
              </w:rPr>
              <w:t>3,559,007</w:t>
            </w:r>
          </w:p>
        </w:tc>
        <w:tc>
          <w:tcPr>
            <w:tcW w:w="280" w:type="dxa"/>
            <w:vAlign w:val="bottom"/>
          </w:tcPr>
          <w:p>
            <w:pPr>
              <w:spacing w:after="0"/>
              <w:rPr>
                <w:sz w:val="18"/>
                <w:szCs w:val="18"/>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II, L.P.</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Spark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shares</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05/14/2026</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vMerge w:val="restart"/>
          </w:tcPr>
          <w:p>
            <w:pPr>
              <w:jc w:val="center"/>
              <w:ind w:left="78"/>
              <w:spacing w:after="0"/>
              <w:rPr>
                <w:sz w:val="20"/>
                <w:szCs w:val="20"/>
                <w:color w:val="auto"/>
              </w:rPr>
            </w:pPr>
            <w:r>
              <w:rPr>
                <w:rFonts w:ascii="Times New Roman" w:cs="Times New Roman" w:eastAsia="Times New Roman" w:hAnsi="Times New Roman"/>
                <w:sz w:val="13"/>
                <w:szCs w:val="13"/>
                <w:color w:val="0000FF"/>
              </w:rPr>
              <w:t>D</w:t>
            </w:r>
          </w:p>
        </w:tc>
        <w:tc>
          <w:tcPr>
            <w:tcW w:w="480" w:type="dxa"/>
            <w:vAlign w:val="bottom"/>
          </w:tcPr>
          <w:p>
            <w:pPr>
              <w:spacing w:after="0"/>
              <w:rPr>
                <w:sz w:val="18"/>
                <w:szCs w:val="18"/>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11,640</w:t>
            </w:r>
            <w:r>
              <w:rPr>
                <w:rFonts w:ascii="Times New Roman" w:cs="Times New Roman" w:eastAsia="Times New Roman" w:hAnsi="Times New Roman"/>
                <w:sz w:val="22"/>
                <w:szCs w:val="22"/>
                <w:color w:val="008000"/>
                <w:w w:val="93"/>
                <w:vertAlign w:val="superscript"/>
              </w:rPr>
              <w:t>(1)</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vMerge w:val="restart"/>
          </w:tcPr>
          <w:p>
            <w:pPr>
              <w:jc w:val="center"/>
              <w:ind w:left="2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18"/>
                <w:szCs w:val="18"/>
                <w:color w:val="auto"/>
              </w:rPr>
            </w:pPr>
          </w:p>
        </w:tc>
        <w:tc>
          <w:tcPr>
            <w:tcW w:w="1320" w:type="dxa"/>
            <w:vAlign w:val="bottom"/>
            <w:gridSpan w:val="3"/>
            <w:vMerge w:val="restart"/>
          </w:tcPr>
          <w:p>
            <w:pPr>
              <w:jc w:val="center"/>
              <w:ind w:left="89"/>
              <w:spacing w:after="0"/>
              <w:rPr>
                <w:sz w:val="20"/>
                <w:szCs w:val="20"/>
                <w:color w:val="auto"/>
              </w:rPr>
            </w:pPr>
            <w:r>
              <w:rPr>
                <w:rFonts w:ascii="Times New Roman" w:cs="Times New Roman" w:eastAsia="Times New Roman" w:hAnsi="Times New Roman"/>
                <w:sz w:val="17"/>
                <w:szCs w:val="17"/>
                <w:color w:val="0000FF"/>
              </w:rPr>
              <w:t>23,280</w:t>
            </w:r>
          </w:p>
        </w:tc>
        <w:tc>
          <w:tcPr>
            <w:tcW w:w="280" w:type="dxa"/>
            <w:vAlign w:val="bottom"/>
          </w:tcPr>
          <w:p>
            <w:pPr>
              <w:spacing w:after="0"/>
              <w:rPr>
                <w:sz w:val="18"/>
                <w:szCs w:val="18"/>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Founders'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Fund II</w:t>
            </w:r>
            <w:r>
              <w:rPr>
                <w:rFonts w:ascii="Times New Roman" w:cs="Times New Roman" w:eastAsia="Times New Roman" w:hAnsi="Times New Roman"/>
                <w:sz w:val="22"/>
                <w:szCs w:val="22"/>
                <w:color w:val="008000"/>
                <w:vertAlign w:val="superscript"/>
              </w:rPr>
              <w:t>(2)</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Spark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shares</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05/14/2026</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vMerge w:val="restart"/>
          </w:tcPr>
          <w:p>
            <w:pPr>
              <w:jc w:val="center"/>
              <w:ind w:left="78"/>
              <w:spacing w:after="0"/>
              <w:rPr>
                <w:sz w:val="20"/>
                <w:szCs w:val="20"/>
                <w:color w:val="auto"/>
              </w:rPr>
            </w:pPr>
            <w:r>
              <w:rPr>
                <w:rFonts w:ascii="Times New Roman" w:cs="Times New Roman" w:eastAsia="Times New Roman" w:hAnsi="Times New Roman"/>
                <w:sz w:val="26"/>
                <w:szCs w:val="26"/>
                <w:color w:val="0000FF"/>
                <w:w w:val="91"/>
                <w:vertAlign w:val="subscript"/>
              </w:rPr>
              <w:t>J</w:t>
            </w:r>
            <w:r>
              <w:rPr>
                <w:rFonts w:ascii="Times New Roman" w:cs="Times New Roman" w:eastAsia="Times New Roman" w:hAnsi="Times New Roman"/>
                <w:sz w:val="11"/>
                <w:szCs w:val="11"/>
                <w:color w:val="008000"/>
                <w:w w:val="91"/>
              </w:rPr>
              <w:t>(3)</w:t>
            </w:r>
          </w:p>
        </w:tc>
        <w:tc>
          <w:tcPr>
            <w:tcW w:w="480" w:type="dxa"/>
            <w:vAlign w:val="bottom"/>
          </w:tcPr>
          <w:p>
            <w:pPr>
              <w:spacing w:after="0"/>
              <w:rPr>
                <w:sz w:val="18"/>
                <w:szCs w:val="18"/>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2,892</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600" w:type="dxa"/>
            <w:vAlign w:val="bottom"/>
            <w:vMerge w:val="restart"/>
          </w:tcPr>
          <w:p>
            <w:pPr>
              <w:jc w:val="center"/>
              <w:ind w:left="2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18"/>
                <w:szCs w:val="18"/>
                <w:color w:val="auto"/>
              </w:rPr>
            </w:pPr>
          </w:p>
        </w:tc>
        <w:tc>
          <w:tcPr>
            <w:tcW w:w="1320" w:type="dxa"/>
            <w:vAlign w:val="bottom"/>
            <w:gridSpan w:val="3"/>
            <w:vMerge w:val="restart"/>
          </w:tcPr>
          <w:p>
            <w:pPr>
              <w:jc w:val="center"/>
              <w:ind w:left="89"/>
              <w:spacing w:after="0"/>
              <w:rPr>
                <w:sz w:val="20"/>
                <w:szCs w:val="20"/>
                <w:color w:val="auto"/>
              </w:rPr>
            </w:pPr>
            <w:r>
              <w:rPr>
                <w:rFonts w:ascii="Times New Roman" w:cs="Times New Roman" w:eastAsia="Times New Roman" w:hAnsi="Times New Roman"/>
                <w:sz w:val="17"/>
                <w:szCs w:val="17"/>
                <w:color w:val="0000FF"/>
              </w:rPr>
              <w:t>2,892</w:t>
            </w:r>
          </w:p>
        </w:tc>
        <w:tc>
          <w:tcPr>
            <w:tcW w:w="280" w:type="dxa"/>
            <w:vAlign w:val="bottom"/>
          </w:tcPr>
          <w:p>
            <w:pPr>
              <w:spacing w:after="0"/>
              <w:rPr>
                <w:sz w:val="18"/>
                <w:szCs w:val="18"/>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640" w:type="dxa"/>
            <w:vAlign w:val="bottom"/>
            <w:gridSpan w:val="3"/>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80" w:type="dxa"/>
            <w:vAlign w:val="bottom"/>
          </w:tcPr>
          <w:p>
            <w:pPr>
              <w:spacing w:after="0"/>
              <w:rPr>
                <w:sz w:val="6"/>
                <w:szCs w:val="6"/>
                <w:color w:val="auto"/>
              </w:rPr>
            </w:pPr>
          </w:p>
        </w:tc>
        <w:tc>
          <w:tcPr>
            <w:tcW w:w="9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Spark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shares</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05/14/2026</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vMerge w:val="restart"/>
          </w:tcPr>
          <w:p>
            <w:pPr>
              <w:jc w:val="center"/>
              <w:ind w:left="58"/>
              <w:spacing w:after="0"/>
              <w:rPr>
                <w:sz w:val="20"/>
                <w:szCs w:val="20"/>
                <w:color w:val="auto"/>
              </w:rPr>
            </w:pPr>
            <w:r>
              <w:rPr>
                <w:rFonts w:ascii="Times New Roman" w:cs="Times New Roman" w:eastAsia="Times New Roman" w:hAnsi="Times New Roman"/>
                <w:sz w:val="13"/>
                <w:szCs w:val="13"/>
                <w:color w:val="0000FF"/>
              </w:rPr>
              <w:t>S</w:t>
            </w:r>
          </w:p>
        </w:tc>
        <w:tc>
          <w:tcPr>
            <w:tcW w:w="480" w:type="dxa"/>
            <w:vAlign w:val="bottom"/>
          </w:tcPr>
          <w:p>
            <w:pPr>
              <w:spacing w:after="0"/>
              <w:rPr>
                <w:sz w:val="18"/>
                <w:szCs w:val="18"/>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2,892</w:t>
            </w:r>
          </w:p>
        </w:tc>
        <w:tc>
          <w:tcPr>
            <w:tcW w:w="42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41.036</w:t>
            </w:r>
            <w:r>
              <w:rPr>
                <w:rFonts w:ascii="Times New Roman" w:cs="Times New Roman" w:eastAsia="Times New Roman" w:hAnsi="Times New Roman"/>
                <w:sz w:val="22"/>
                <w:szCs w:val="22"/>
                <w:color w:val="008000"/>
                <w:w w:val="95"/>
                <w:vertAlign w:val="superscript"/>
              </w:rPr>
              <w:t>(4)</w:t>
            </w:r>
          </w:p>
        </w:tc>
        <w:tc>
          <w:tcPr>
            <w:tcW w:w="500" w:type="dxa"/>
            <w:vAlign w:val="bottom"/>
          </w:tcPr>
          <w:p>
            <w:pPr>
              <w:spacing w:after="0"/>
              <w:rPr>
                <w:sz w:val="18"/>
                <w:szCs w:val="18"/>
                <w:color w:val="auto"/>
              </w:rPr>
            </w:pPr>
          </w:p>
        </w:tc>
        <w:tc>
          <w:tcPr>
            <w:tcW w:w="640" w:type="dxa"/>
            <w:vAlign w:val="bottom"/>
            <w:vMerge w:val="restart"/>
          </w:tcPr>
          <w:p>
            <w:pPr>
              <w:jc w:val="center"/>
              <w:ind w:right="457"/>
              <w:spacing w:after="0"/>
              <w:rPr>
                <w:sz w:val="20"/>
                <w:szCs w:val="20"/>
                <w:color w:val="auto"/>
              </w:rPr>
            </w:pPr>
            <w:r>
              <w:rPr>
                <w:rFonts w:ascii="Times New Roman" w:cs="Times New Roman" w:eastAsia="Times New Roman" w:hAnsi="Times New Roman"/>
                <w:sz w:val="17"/>
                <w:szCs w:val="17"/>
                <w:color w:val="0000FF"/>
                <w:w w:val="93"/>
              </w:rPr>
              <w:t>0</w:t>
            </w:r>
          </w:p>
        </w:tc>
        <w:tc>
          <w:tcPr>
            <w:tcW w:w="280" w:type="dxa"/>
            <w:vAlign w:val="bottom"/>
          </w:tcPr>
          <w:p>
            <w:pPr>
              <w:spacing w:after="0"/>
              <w:rPr>
                <w:sz w:val="18"/>
                <w:szCs w:val="18"/>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12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LLC</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520" w:type="dxa"/>
            <w:vAlign w:val="bottom"/>
            <w:tcBorders>
              <w:bottom w:val="single" w:sz="8" w:color="2C2C2C"/>
            </w:tcBorders>
            <w:gridSpan w:val="5"/>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14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2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80" w:type="dxa"/>
            <w:vAlign w:val="bottom"/>
            <w:tcBorders>
              <w:right w:val="single" w:sz="8" w:color="2C2C2C"/>
            </w:tcBorders>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or Indirect</w:t>
            </w:r>
          </w:p>
        </w:tc>
        <w:tc>
          <w:tcPr>
            <w:tcW w:w="880" w:type="dxa"/>
            <w:vAlign w:val="bottom"/>
            <w:tcBorders>
              <w:right w:val="single" w:sz="8" w:color="2C2C2C"/>
            </w:tcBorders>
            <w:gridSpan w:val="3"/>
          </w:tcPr>
          <w:p>
            <w:pPr>
              <w:ind w:left="1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1540" w:type="dxa"/>
            <w:vAlign w:val="bottom"/>
            <w:tcBorders>
              <w:right w:val="single" w:sz="8" w:color="2C2C2C"/>
            </w:tcBorders>
            <w:gridSpan w:val="4"/>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980" w:type="dxa"/>
            <w:vAlign w:val="bottom"/>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distribution in kind by Spark Capital II, L.P. and By Spark Capital Founders' Fund II to its limited partners. The reporting person no longer has any pecuniary interest in, or voting or dispositive power over, the securities reported herein.</w:t>
      </w:r>
    </w:p>
    <w:p>
      <w:pPr>
        <w:spacing w:after="0" w:line="7" w:lineRule="exact"/>
        <w:rPr>
          <w:rFonts w:ascii="Times New Roman" w:cs="Times New Roman" w:eastAsia="Times New Roman" w:hAnsi="Times New Roman"/>
          <w:sz w:val="13"/>
          <w:szCs w:val="13"/>
          <w:color w:val="008000"/>
        </w:rPr>
      </w:pPr>
    </w:p>
    <w:p>
      <w:pPr>
        <w:ind w:left="40" w:right="2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 securities reported herein as indirectly held by Spark Capital II, L.P. and Spark Capital Founders' Fund II, except to the extent of such Reporting Person's pecuniary interest therein, and this report shall not be deemed an admission that the Reporting Person is the beneficial owner of such securities for purposes of Section 16 or any other purpose</w:t>
      </w:r>
    </w:p>
    <w:p>
      <w:pPr>
        <w:spacing w:after="0" w:line="20" w:lineRule="exact"/>
        <w:rPr>
          <w:rFonts w:ascii="Times New Roman" w:cs="Times New Roman" w:eastAsia="Times New Roman" w:hAnsi="Times New Roman"/>
          <w:sz w:val="13"/>
          <w:szCs w:val="13"/>
          <w:color w:val="008000"/>
        </w:rPr>
      </w:pPr>
    </w:p>
    <w:p>
      <w:pPr>
        <w:jc w:val="both"/>
        <w:ind w:left="40" w:right="5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received by Spark Capital Partners, LLC in a distribution in kind from Spark Capital II, L.P to its partners. The reporting person may be deemed to share voting, investment and dispositive power with respect to these securities by virtue of his relationship with the GP. The reporting person disclaims beneficial ownership of the securities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reporting person undertakes to provide full information, regarding the number of shares and prices at which the transaction was effectuated, upon request.</w:t>
      </w:r>
    </w:p>
    <w:p>
      <w:pPr>
        <w:ind w:left="6580"/>
        <w:spacing w:after="0" w:line="229" w:lineRule="auto"/>
        <w:tabs>
          <w:tab w:leader="none" w:pos="8760" w:val="left"/>
        </w:tabs>
        <w:rPr>
          <w:sz w:val="20"/>
          <w:szCs w:val="20"/>
          <w:color w:val="auto"/>
        </w:rPr>
      </w:pPr>
      <w:r>
        <w:rPr>
          <w:rFonts w:ascii="Times New Roman" w:cs="Times New Roman" w:eastAsia="Times New Roman" w:hAnsi="Times New Roman"/>
          <w:sz w:val="17"/>
          <w:szCs w:val="17"/>
          <w:color w:val="0000FF"/>
        </w:rPr>
        <w:t>Santo Politi by: Oppenheimer</w:t>
      </w:r>
      <w:r>
        <w:rPr>
          <w:sz w:val="20"/>
          <w:szCs w:val="20"/>
          <w:color w:val="auto"/>
        </w:rPr>
        <w:tab/>
      </w:r>
      <w:r>
        <w:rPr>
          <w:rFonts w:ascii="Times New Roman" w:cs="Times New Roman" w:eastAsia="Times New Roman" w:hAnsi="Times New Roman"/>
          <w:sz w:val="26"/>
          <w:szCs w:val="26"/>
          <w:color w:val="0000FF"/>
          <w:vertAlign w:val="subscript"/>
        </w:rPr>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0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Israel,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328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3284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80" w:orient="portrait"/>
          <w:cols w:equalWidth="0" w:num="1">
            <w:col w:w="11080"/>
          </w:cols>
          <w:pgMar w:left="460" w:top="219" w:right="359" w:bottom="0" w:gutter="0" w:footer="0" w:header="0"/>
          <w:type w:val="continuous"/>
        </w:sectPr>
      </w:pP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80"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53"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11711" TargetMode="External"/><Relationship Id="rId14" Type="http://schemas.openxmlformats.org/officeDocument/2006/relationships/hyperlink" Target="http://www.sec.gov/cgi-bin/browse-edgar?action=getcompany&amp;CIK=00014933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2026-05-18T11:22:05Z</dcterms:created>
  <dcterms:modified xsi:type="dcterms:W3CDTF">2026-05-18T11:22:05Z</dcterms:modified>
</cp:coreProperties>
</file>