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November 10, 2025, eToro Group Ltd. (the “Company”) issued a press release titled “eToro Reports Third Quarter 2025 Results.” A copy of the press release is furnished as Exhibit 99.1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balance sheets, unaudited condensed consolidated statements of profit or loss and other comprehensive income (loss), unaudited condensed consolidated statements of cash flows and unaudited reconciliation of non-GAAP metrics contained in the press release attached as Exhibit 99.1 to this report on Form 6-K are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(Registration No. 333-287430) (including any prospectuses forming a part of such registration statement), to be a part thereof from the date on which this report is submitted, to the extent not superseded by documents or reports subsequently filed or furnished. Except for the foregoing information, the other information contained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November 10, 2025, titled “eToro Reports Third Quarter 2025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600" w:type="dxa"/>
            <w:vAlign w:val="bottom"/>
            <w:tcBorders>
              <w:top w:val="single" w:sz="8" w:color="0000EE"/>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2</w:t>
            </w:r>
          </w:p>
        </w:tc>
        <w:tc>
          <w:tcPr>
            <w:tcW w:w="35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19685</wp:posOffset>
            </wp:positionV>
            <wp:extent cx="3197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0"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 w:val="left"/>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w:t>
        <w:tab/>
        <w:t>November 10,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146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914650"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14312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Jonathan Alexander Assia</w:t>
      </w:r>
    </w:p>
    <w:p>
      <w:pPr>
        <w:spacing w:after="0" w:line="27"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REPORTS THIRD QUARTER 2025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Contribution grew by 28% year-over-year to $215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Assets Under Administration grew by 76% year-over-year to $20.8 billion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Funded accounts grew by 16% year-over-year to 3.73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Announced a $150 million share repurchase program</w:t>
      </w:r>
    </w:p>
    <w:p>
      <w:pPr>
        <w:spacing w:after="0" w:line="20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 November 10th, 2025 - </w:t>
      </w:r>
      <w:r>
        <w:rPr>
          <w:rFonts w:ascii="Times New Roman" w:cs="Times New Roman" w:eastAsia="Times New Roman" w:hAnsi="Times New Roman"/>
          <w:sz w:val="18"/>
          <w:szCs w:val="18"/>
          <w:color w:val="auto"/>
        </w:rPr>
        <w:t>eToro Group Ltd. (“eToro”, or the “Company”) (NASDAQ: ETOR), the trading and investing platform,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third quarter ended September 30, 2025.</w:t>
      </w:r>
    </w:p>
    <w:p>
      <w:pPr>
        <w:spacing w:after="0" w:line="1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“We remain focused on executing our strategy across our four key pillars of trading, investing, wealth management, and neo-banking, developing new products and services that deliver value to users across every step of their investing journey. This robust product offering, combined with our unique shared social experience for users worldwide, creates a powerful flywheel that drives increased engagement and activity platform while establishing a durable competitive moat. Looking ahead, we are committed to remaining at the forefront of product development and innovation, as demonstrated by our crypto and AI initiatives, while expanding our reach both globally and within the United States through Copy Trading. As eToro continues to scale, we believe we are well positioned to capture the significant growth opportunities presented by the inevitable macro tailwinds and deliver long-term shareholder value,” </w:t>
      </w:r>
      <w:r>
        <w:rPr>
          <w:rFonts w:ascii="Times New Roman" w:cs="Times New Roman" w:eastAsia="Times New Roman" w:hAnsi="Times New Roman"/>
          <w:sz w:val="18"/>
          <w:szCs w:val="18"/>
          <w:color w:val="auto"/>
        </w:rPr>
        <w:t xml:space="preserve">said </w:t>
      </w:r>
      <w:r>
        <w:rPr>
          <w:rFonts w:ascii="Times New Roman" w:cs="Times New Roman" w:eastAsia="Times New Roman" w:hAnsi="Times New Roman"/>
          <w:sz w:val="18"/>
          <w:szCs w:val="18"/>
          <w:b w:val="1"/>
          <w:bCs w:val="1"/>
          <w:color w:val="auto"/>
        </w:rPr>
        <w:t>Yoni Assia, eToro’s Co-founder and CEO.</w:t>
      </w:r>
    </w:p>
    <w:p>
      <w:pPr>
        <w:spacing w:after="0" w:line="18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 delivered another strong quarter of profitable growth, with Net Contribution and Adjusted EBITDA increasing year over year by 28% and 43% respectively. Our results reflect the strength of our diversified revenue streams across segments and geographies, robust user engagement, and disciplined cost management, a trend that has continued into October. We continue to see momentum across key performance metrics with funded accounts up 16% and assets under administration up 76% year over year, underscoring our laser focus on increasing our customer base and share of wallet,”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Meron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Shani, eToro CFO</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eToro today announced that its Board of Directors has authorized a share repurchase program of up to $150 million. Such repurchases may be made through a variety of methods, including through open market transactions (including through Rule 10b5-1 plans), privately negotiated transactions, block trades and by way of an accelerated share repurchase program. Additionally, subject to market and other conditions, the Company intends to enter into an Accelerated Share Repurchase (“ASR”) agreement to repurchase approximately $50 million of its common shares under the new authorization. This authorization reflects the Company’s confidence in its long-term strategy and growth prospects, financial strength, and commitment to deliver shareholder value. eToro believes that its current share price does not fully reflect the Company’s fundamental value, and that repurchasing shares represents a prudent allocation of capital. The program also provides additional flexibility to support potential future strategic initiatives, including mergers and acquisitions, where eToro shares could serve as an effective transaction currency. The actual timing, number, manner and value of any shares repurchased will depend on several factors, including the market price of our shares, general market and economic conditions, our liquidity requirements, applicable legal requirements and other business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and Product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increased by 28% year over year to $215 million, compared to $167 million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increased 48% year over year to $57 million, compared to $39 million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increased 35% to $60 million, compared to $45 million in the third quarter of 2024.</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increased by 43% year over year to $78 million, compared to $55 million in the third quarter of 2024, largely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increased net contribution and disciplined cost management.</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EPS (non-GAAP) </w:t>
      </w:r>
      <w:r>
        <w:rPr>
          <w:rFonts w:ascii="Times New Roman" w:cs="Times New Roman" w:eastAsia="Times New Roman" w:hAnsi="Times New Roman"/>
          <w:sz w:val="18"/>
          <w:szCs w:val="18"/>
          <w:color w:val="auto"/>
        </w:rPr>
        <w:t>was $0.60, compared to $0.51 in the third quarter of 2024.</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increased 16% year over year to 3.73 million compared to 3.21 million in the third quarter of 2024. This was driven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ongoing user acquisition and retention efforts, as well as the acquisition of Australian investing app Spaceship in Q4 2024.</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w:t>
      </w:r>
      <w:r>
        <w:rPr>
          <w:rFonts w:ascii="Times New Roman" w:cs="Times New Roman" w:eastAsia="Times New Roman" w:hAnsi="Times New Roman"/>
          <w:sz w:val="18"/>
          <w:szCs w:val="18"/>
          <w:color w:val="auto"/>
        </w:rPr>
        <w:t>grew by 76% year over year to $20.8 billion, compared to $11.8 billion in the third quarter of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 term investments </w:t>
      </w:r>
      <w:r>
        <w:rPr>
          <w:rFonts w:ascii="Times New Roman" w:cs="Times New Roman" w:eastAsia="Times New Roman" w:hAnsi="Times New Roman"/>
          <w:sz w:val="18"/>
          <w:szCs w:val="18"/>
          <w:color w:val="auto"/>
        </w:rPr>
        <w:t>were $1.2 billion as of September 30, 2025.</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key products </w:t>
      </w:r>
      <w:r>
        <w:rPr>
          <w:rFonts w:ascii="Times New Roman" w:cs="Times New Roman" w:eastAsia="Times New Roman" w:hAnsi="Times New Roman"/>
          <w:sz w:val="18"/>
          <w:szCs w:val="18"/>
          <w:color w:val="auto"/>
        </w:rPr>
        <w:t>across our four pillars of trading, investing, wealth management, and neo-banking including AI-powered solutions,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Trading, 24/5 trading, futures, local savings, and eToro Money in key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October KPI metrics</w:t>
      </w:r>
      <w:r>
        <w:rPr>
          <w:rFonts w:ascii="Times New Roman" w:cs="Times New Roman" w:eastAsia="Times New Roman" w:hAnsi="Times New Roman"/>
          <w:sz w:val="29"/>
          <w:szCs w:val="29"/>
          <w:b w:val="1"/>
          <w:bCs w:val="1"/>
          <w:color w:val="auto"/>
          <w:vertAlign w:val="superscript"/>
        </w:rPr>
        <w:t>2</w:t>
      </w:r>
    </w:p>
    <w:p>
      <w:pPr>
        <w:spacing w:after="0" w:line="13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Consistent with its commitment to enhanced transparency and disclosure, eToro also reported the below selected monthly business metrics for October 2025</w:t>
      </w:r>
    </w:p>
    <w:p>
      <w:pPr>
        <w:spacing w:after="0" w:line="158" w:lineRule="exact"/>
        <w:rPr>
          <w:sz w:val="20"/>
          <w:szCs w:val="20"/>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were $20.5 billion up 73%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were 3.76 million up 17%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Markets/ECC Activity</w:t>
      </w:r>
    </w:p>
    <w:p>
      <w:pPr>
        <w:spacing w:after="0" w:line="25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October was 62 million up 53% year-over-year;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October was $361 up 26% year-over-year;</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 Activity</w:t>
      </w:r>
    </w:p>
    <w:p>
      <w:pPr>
        <w:spacing w:after="0" w:line="25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October was 5 million up 84% year-over-year;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October was $320 up 52% year-over-year;</w:t>
      </w:r>
    </w:p>
    <w:p>
      <w:pPr>
        <w:spacing w:after="0" w:line="2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18"/>
          <w:szCs w:val="18"/>
          <w:color w:val="auto"/>
        </w:rPr>
        <w:t>for October was $8.7 billion up 55%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Money Transfers </w:t>
      </w:r>
      <w:r>
        <w:rPr>
          <w:rFonts w:ascii="Times New Roman" w:cs="Times New Roman" w:eastAsia="Times New Roman" w:hAnsi="Times New Roman"/>
          <w:sz w:val="18"/>
          <w:szCs w:val="18"/>
          <w:color w:val="auto"/>
        </w:rPr>
        <w:t>for October was $1.4 billion up 116% year-over-year.</w:t>
      </w:r>
    </w:p>
    <w:p>
      <w:pPr>
        <w:spacing w:after="0" w:line="269" w:lineRule="exact"/>
        <w:rPr>
          <w:rFonts w:ascii="Times New Roman" w:cs="Times New Roman" w:eastAsia="Times New Roman" w:hAnsi="Times New Roman"/>
          <w:sz w:val="18"/>
          <w:szCs w:val="18"/>
          <w:color w:val="auto"/>
        </w:rPr>
      </w:pPr>
    </w:p>
    <w:p>
      <w:pPr>
        <w:ind w:left="360" w:hanging="351"/>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“Non-GAAP Financial Metrics and Key Performance Indicators” below for additional information and a reconciliation to GAAP for all Non-GAAP financial metrics. Adjusted EBITDA margin is based on net contribution.Numbers may not sum up due to rounding; percentage changes based on unrounded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178308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ind w:left="5580" w:right="4380" w:hanging="5572"/>
        <w:spacing w:after="0" w:line="601" w:lineRule="auto"/>
        <w:tabs>
          <w:tab w:leader="none" w:pos="36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Numbers may not sum up due to rounding; percentage changes based on unrounded data.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across the Company’s four strategic pillars during the third quarter include:</w:t>
      </w:r>
    </w:p>
    <w:p>
      <w:pPr>
        <w:spacing w:after="0" w:line="221" w:lineRule="exact"/>
        <w:rPr>
          <w:sz w:val="20"/>
          <w:szCs w:val="20"/>
          <w:color w:val="auto"/>
        </w:rPr>
      </w:pPr>
    </w:p>
    <w:p>
      <w:pPr>
        <w:ind w:left="660" w:right="40" w:hanging="328"/>
        <w:spacing w:after="0" w:line="26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The Company is introducing continuous weekday trading (24/5) for all S&amp;P 500 and Nasdaq 100 stocks, enabling its global user base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U.S. markets more easily and respond to global market movements. eToro expanded its futures offering into Europe and provided broader access to Nordic-listed stocks across Stockholm, Helsinki, and Copenhagen through Nasdaq, strengthening its global market reach.</w:t>
      </w:r>
    </w:p>
    <w:p>
      <w:pPr>
        <w:spacing w:after="0" w:line="170" w:lineRule="exact"/>
        <w:rPr>
          <w:rFonts w:ascii="Times New Roman" w:cs="Times New Roman" w:eastAsia="Times New Roman" w:hAnsi="Times New Roman"/>
          <w:sz w:val="18"/>
          <w:szCs w:val="18"/>
          <w:color w:val="auto"/>
        </w:rPr>
      </w:pPr>
    </w:p>
    <w:p>
      <w:pPr>
        <w:ind w:left="660" w:right="180" w:hanging="328"/>
        <w:spacing w:after="0" w:line="23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w:t>
      </w:r>
      <w:r>
        <w:rPr>
          <w:rFonts w:ascii="Times New Roman" w:cs="Times New Roman" w:eastAsia="Times New Roman" w:hAnsi="Times New Roman"/>
          <w:sz w:val="18"/>
          <w:szCs w:val="18"/>
          <w:color w:val="auto"/>
        </w:rPr>
        <w:t>Marking 15 years of social investing, eToro continued to grow its community with over 4,000 investors across 70 countries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enrolled in the Pro Investor Program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The Company also launched a new suite of AI tools, enabling investors to create and customize their own strategies and dashboards, and plans to soon expand access to the eToro App Store, where users can publish and share their innovations with millions of eToro users globally. Tori, eToro’s AI-powered analyst, has seen strong adoption, with more than one-third of Club Members using it to access personalized insights that enhance their investing decisions.</w:t>
      </w:r>
    </w:p>
    <w:p>
      <w:pPr>
        <w:spacing w:after="0" w:line="194" w:lineRule="exact"/>
        <w:rPr>
          <w:rFonts w:ascii="Times New Roman" w:cs="Times New Roman" w:eastAsia="Times New Roman" w:hAnsi="Times New Roman"/>
          <w:sz w:val="18"/>
          <w:szCs w:val="18"/>
          <w:color w:val="auto"/>
        </w:rPr>
      </w:pPr>
    </w:p>
    <w:p>
      <w:pPr>
        <w:ind w:left="660" w:right="8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w:t>
      </w:r>
      <w:r>
        <w:rPr>
          <w:rFonts w:ascii="Times New Roman" w:cs="Times New Roman" w:eastAsia="Times New Roman" w:hAnsi="Times New Roman"/>
          <w:sz w:val="18"/>
          <w:szCs w:val="18"/>
          <w:color w:val="auto"/>
        </w:rPr>
        <w:t>eToro strengthened its long-term investing and savings offering with new, localized products and subscription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introduced the eToro Club Subscription, which provides access to exclusive wealth tools, investing features, and premium rewards. As we continue expanding our savings offering to tap into a market opportunity exceeding $1 trillion, eToro is broadening access to long-term financial solutions. In the U.K., we introduced the Cash ISA, extending our range of tax-efficient savings products, while in Australia, we advanced the integration of Spaceship, enabling users to access superannuation products directly through the eToro platform.</w:t>
      </w:r>
    </w:p>
    <w:p>
      <w:pPr>
        <w:spacing w:after="0" w:line="179"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Neo-Banking: </w:t>
      </w:r>
      <w:r>
        <w:rPr>
          <w:rFonts w:ascii="Times New Roman" w:cs="Times New Roman" w:eastAsia="Times New Roman" w:hAnsi="Times New Roman"/>
          <w:sz w:val="18"/>
          <w:szCs w:val="18"/>
          <w:color w:val="auto"/>
        </w:rPr>
        <w:t>eToro accelerated the localization of its money management experience, driving adoption of eToro Money across regions. eToro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continued to localize its product and launched eToro money in Australia. In Europe and the U.K., users can now earn up to 4% stock back on card purchases, rewarding daily spending with portfolio growth, as well as 1% stock back on crypto deposits. eToro closed the quarter with 1.75 million eToro Money accounts while experiencing a 2.4x increase in debit cards issued sequentially quarter-on-quarter, underscoring growing user engagement and retention.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eToro’s commitment to product innovation and its efforts to expand its presence both globally and in the United States will fuel its continued growth.</w:t>
      </w:r>
    </w:p>
    <w:p>
      <w:pPr>
        <w:spacing w:after="0" w:line="221" w:lineRule="exact"/>
        <w:rPr>
          <w:sz w:val="20"/>
          <w:szCs w:val="20"/>
          <w:color w:val="auto"/>
        </w:rPr>
      </w:pPr>
    </w:p>
    <w:p>
      <w:pPr>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Strategy: </w:t>
      </w:r>
      <w:r>
        <w:rPr>
          <w:rFonts w:ascii="Times New Roman" w:cs="Times New Roman" w:eastAsia="Times New Roman" w:hAnsi="Times New Roman"/>
          <w:sz w:val="18"/>
          <w:szCs w:val="18"/>
          <w:color w:val="auto"/>
        </w:rPr>
        <w:t>eToro continued to execute on its long-term digital assets strategy, building an integrated, multi-layered crypto ecosystem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bridges traditional finance and Web3. The Company expanded its crypto offering with more utility, staking, and yield-generating tokens in the U.S., and advanced development of its crypto wallet. eToro’s crypto wallet, which it expects to launch in the next few quarters, will enable users to participate in blockchain-based prediction markets, lending, and tokenization. These initiatives position eToro at the forefront of crypto innovation, empowering millions of users to build wealth on blockchain rails.</w:t>
      </w:r>
    </w:p>
    <w:p>
      <w:pPr>
        <w:spacing w:after="0" w:line="179"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Global Expansion: </w:t>
      </w:r>
      <w:r>
        <w:rPr>
          <w:rFonts w:ascii="Times New Roman" w:cs="Times New Roman" w:eastAsia="Times New Roman" w:hAnsi="Times New Roman"/>
          <w:sz w:val="18"/>
          <w:szCs w:val="18"/>
          <w:color w:val="auto"/>
        </w:rPr>
        <w:t>eToro sustained its momentum in key growth markets as the Company builds on its presence in 75 countries across the world.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U.S., new funded accounts year to date surpassed full-year 2024 levels, fueled by a substantial expansion of cryptoassets (from 3 to 110) and the launch of staking for Cardano (ADA), Ethereum (ETH), and Solana (SOL). Moreover, the recent U.S. launch of CopyTrader extends eToro’s patented technology to U.S.-based investors, enabling them to instantly copy the investment strategies of other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90"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Formerly called the Popular Investor Program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Conference Call and Livestream Information</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eToro will host a video call to discuss its results at 5:30 a.m. PT / 8:30 a.m. ET today, November 10, 2025. The video call can be accessed at investors.etoro.com, along with this earnings press release and accompanying slide presentation and certain monthly business metrics. The event will also be live streamed to eToro’s YouTube and X.com official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 pr@etoro.com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investors@etoro.com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eToro</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eToro is the trading and investing platform that empowers you to invest, share and learn. We were founded in 2007 with the vision of a world where everyone can trade and invest in a simple and transparent way. Today we have 40 million registered users from 75 countries. We believe there is power in shared knowledge and that we can become more successful by investing together. So we’ve created a collaborative investment community designed to provide you with the tools you need to grow your knowledge and wealth. On eToro, you can hold a range of traditional and innovative assets and choose how you invest: trade directly, invest in a portfolio, or copy other investors. You can visit our media center here for our latest news.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Social Media Channels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eToro uses its website to distribute company information and makes available free of charge a variety of information for investors, including its filings with the U.S. Securities and Exchange Commission (“SEC”), in addition to disclosing information via press releases, filings with the SEC, public conference calls, webcasts, X feed (@eToro), Instagram page (@eToro_official) and LinkedIn page. The information disclosed through the foregoing channels could be deemed to be material information and we encourage investors, the media, and others to follow the channels listed above and to review the information disclosed through such channels. In addition, investors may opt in to automatically receive email alerts and other information about eToro when enrolling their email address under the “Stay Up to Date” option at the bottom of https://investors.etoro.com/. Information contained on or accessible through any of the foregoing channels is not incorporated by reference into this press release.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4960" w:type="dxa"/>
            <w:vAlign w:val="bottom"/>
            <w:gridSpan w:val="2"/>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1,093,467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575,395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294,716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224,867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113,279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6,838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50,466</w:t>
            </w:r>
          </w:p>
        </w:tc>
        <w:tc>
          <w:tcPr>
            <w:tcW w:w="0" w:type="dxa"/>
            <w:vAlign w:val="bottom"/>
          </w:tcPr>
          <w:p>
            <w:pPr>
              <w:spacing w:after="0"/>
              <w:rPr>
                <w:sz w:val="1"/>
                <w:szCs w:val="1"/>
                <w:color w:val="auto"/>
              </w:rPr>
            </w:pPr>
          </w:p>
        </w:tc>
      </w:tr>
      <w:tr>
        <w:trPr>
          <w:trHeight w:val="24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67,236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46,005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1,687,361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1,075,326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40,601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44,406</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6,299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46,346</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10,318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1,800,586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1,191,362</w:t>
            </w: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5,764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lease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143,936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103,493</w:t>
            </w:r>
          </w:p>
        </w:tc>
        <w:tc>
          <w:tcPr>
            <w:tcW w:w="0" w:type="dxa"/>
            <w:vAlign w:val="bottom"/>
          </w:tcPr>
          <w:p>
            <w:pPr>
              <w:spacing w:after="0"/>
              <w:rPr>
                <w:sz w:val="1"/>
                <w:szCs w:val="1"/>
                <w:color w:val="auto"/>
              </w:rPr>
            </w:pP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209,187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193,115</w:t>
            </w: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364,574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9,616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43,546</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2,185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2,968</w:t>
            </w: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1,263,790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474,469</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397,019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1,868</w:t>
            </w:r>
          </w:p>
        </w:tc>
        <w:tc>
          <w:tcPr>
            <w:tcW w:w="0" w:type="dxa"/>
            <w:vAlign w:val="bottom"/>
          </w:tcPr>
          <w:p>
            <w:pPr>
              <w:spacing w:after="0"/>
              <w:rPr>
                <w:sz w:val="1"/>
                <w:szCs w:val="1"/>
                <w:color w:val="auto"/>
              </w:rPr>
            </w:pPr>
          </w:p>
        </w:tc>
      </w:tr>
      <w:tr>
        <w:trPr>
          <w:trHeight w:val="162"/>
        </w:trPr>
        <w:tc>
          <w:tcPr>
            <w:tcW w:w="4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51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99,507</w:t>
            </w:r>
          </w:p>
        </w:tc>
        <w:tc>
          <w:tcPr>
            <w:tcW w:w="12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840" w:type="dxa"/>
            <w:vAlign w:val="bottom"/>
            <w:vMerge w:val="continue"/>
          </w:tcPr>
          <w:p>
            <w:pPr>
              <w:spacing w:after="0"/>
              <w:rPr>
                <w:sz w:val="6"/>
                <w:szCs w:val="6"/>
                <w:color w:val="auto"/>
              </w:rPr>
            </w:pPr>
          </w:p>
        </w:tc>
        <w:tc>
          <w:tcPr>
            <w:tcW w:w="5180" w:type="dxa"/>
            <w:vAlign w:val="bottom"/>
            <w:gridSpan w:val="3"/>
            <w:vMerge w:val="continue"/>
          </w:tcPr>
          <w:p>
            <w:pPr>
              <w:spacing w:after="0"/>
              <w:rPr>
                <w:sz w:val="6"/>
                <w:szCs w:val="6"/>
                <w:color w:val="auto"/>
              </w:rPr>
            </w:pPr>
          </w:p>
        </w:tc>
        <w:tc>
          <w:tcPr>
            <w:tcW w:w="122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(47,447</w:t>
            </w:r>
          </w:p>
        </w:tc>
        <w:tc>
          <w:tcPr>
            <w:tcW w:w="0" w:type="dxa"/>
            <w:vAlign w:val="bottom"/>
          </w:tcPr>
          <w:p>
            <w:pPr>
              <w:spacing w:after="0"/>
              <w:rPr>
                <w:sz w:val="1"/>
                <w:szCs w:val="1"/>
                <w:color w:val="auto"/>
              </w:rPr>
            </w:pP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1,378,008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832,375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1,800,586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1,191,362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48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PROFIT OR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 and income:</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72,865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91,691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283,744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248,023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3,966,518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1,400,244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9,382,110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6,333,518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(loss) from cryptoassets derivatives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(18,395)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50,249</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58,850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155,342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145,568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24,287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54,549</w:t>
            </w: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9,410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12,288</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4,113,535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1,561,345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9,963,151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6,793,715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3,889,146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1,384,596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9,295,088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6,231,088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27,456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37,906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31,143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99,080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47,901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41,945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161,701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119,150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57,434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183,206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160,434</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2,559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2,151</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4,044,731</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1,516,855</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9,788,187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6,639,359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68,804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44,490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174,964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154,356</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11,987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21,159</w:t>
            </w: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56,817</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38,500</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146,954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133,197</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that may be reclassified subsequently to profit or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for the year, net of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55,605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39,101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150,706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133,798</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0.66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 shares used to compute net income per</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 attributable to common shareholders: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86,648,439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77,730,860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82,760,081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77,646,136</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100,396,074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86,707,195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94,580,493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86,635,250</w:t>
            </w:r>
          </w:p>
        </w:tc>
      </w:tr>
      <w:tr>
        <w:trPr>
          <w:trHeight w:val="637"/>
        </w:trPr>
        <w:tc>
          <w:tcPr>
            <w:tcW w:w="59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ectPr>
          <w:pgSz w:w="11900" w:h="16838" w:orient="portrait"/>
          <w:cols w:equalWidth="0" w:num="1">
            <w:col w:w="11240"/>
          </w:cols>
          <w:pgMar w:left="320" w:top="900" w:right="339" w:bottom="7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6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6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22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19"/>
                <w:szCs w:val="19"/>
                <w:color w:val="auto"/>
              </w:rPr>
            </w:pPr>
          </w:p>
        </w:tc>
      </w:tr>
      <w:tr>
        <w:trPr>
          <w:trHeight w:val="445"/>
        </w:trPr>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56,817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38,500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146,954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133,197</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0" w:right="339" w:bottom="704"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profit or loss items: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and impairment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9,152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12,132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of liabilities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3,963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(70,661)</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(37,983)</w:t>
            </w:r>
          </w:p>
        </w:tc>
        <w:tc>
          <w:tcPr>
            <w:tcW w:w="1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(84,795)</w:t>
            </w:r>
          </w:p>
        </w:tc>
        <w:tc>
          <w:tcPr>
            <w:tcW w:w="1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(31,511)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(10,336)</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(5,258)</w:t>
            </w:r>
          </w:p>
        </w:tc>
        <w:tc>
          <w:tcPr>
            <w:tcW w:w="13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(27,090)</w:t>
            </w:r>
          </w:p>
        </w:tc>
        <w:tc>
          <w:tcPr>
            <w:tcW w:w="1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(11,844)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18,552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expenses,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8,351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11,987</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w:t>
            </w:r>
          </w:p>
        </w:tc>
        <w:tc>
          <w:tcPr>
            <w:tcW w:w="220" w:type="dxa"/>
            <w:vAlign w:val="bottom"/>
          </w:tcPr>
          <w:p>
            <w:pPr>
              <w:spacing w:after="0"/>
              <w:rPr>
                <w:sz w:val="20"/>
                <w:szCs w:val="20"/>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28,010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(57,316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(24,323</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(31,725</w:t>
            </w:r>
          </w:p>
        </w:tc>
        <w:tc>
          <w:tcPr>
            <w:tcW w:w="220" w:type="dxa"/>
            <w:vAlign w:val="bottom"/>
            <w:tcBorders>
              <w:top w:val="single" w:sz="8" w:color="CCEEFF"/>
              <w:bottom w:val="single" w:sz="8" w:color="CCEEFF"/>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of counterparties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8,543</w:t>
            </w:r>
          </w:p>
        </w:tc>
        <w:tc>
          <w:tcPr>
            <w:tcW w:w="1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(13,457)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cryptoassets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28,595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other receivables and prepaid expenses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(6,342)</w:t>
            </w:r>
          </w:p>
        </w:tc>
        <w:tc>
          <w:tcPr>
            <w:tcW w:w="13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(2,660)</w:t>
            </w:r>
          </w:p>
        </w:tc>
        <w:tc>
          <w:tcPr>
            <w:tcW w:w="13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(13,953)</w:t>
            </w:r>
          </w:p>
        </w:tc>
        <w:tc>
          <w:tcPr>
            <w:tcW w:w="122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(7,545)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of restricted cash</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(183)</w:t>
            </w: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user and omnibus accounts, net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75,588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62,042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accounts payable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13,304</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564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accrued expenses and other payables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(1,406)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of employee benefit liabilities, net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60" w:type="dxa"/>
            <w:vAlign w:val="bottom"/>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jc w:val="right"/>
              <w:ind w:right="8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75"/>
        </w:trPr>
        <w:tc>
          <w:tcPr>
            <w:tcW w:w="59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gridSpan w:val="2"/>
          </w:tcPr>
          <w:p>
            <w:pPr>
              <w:jc w:val="right"/>
              <w:ind w:right="144"/>
              <w:spacing w:after="0" w:line="68" w:lineRule="exact"/>
              <w:rPr>
                <w:sz w:val="20"/>
                <w:szCs w:val="20"/>
                <w:color w:val="auto"/>
              </w:rPr>
            </w:pPr>
            <w:r>
              <w:rPr>
                <w:rFonts w:ascii="Times New Roman" w:cs="Times New Roman" w:eastAsia="Times New Roman" w:hAnsi="Times New Roman"/>
                <w:sz w:val="7"/>
                <w:szCs w:val="7"/>
                <w:color w:val="auto"/>
              </w:rPr>
              <w:t>(461</w:t>
            </w:r>
          </w:p>
        </w:tc>
        <w:tc>
          <w:tcPr>
            <w:tcW w:w="11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52,464</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70,729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97,506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64,769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paid, net during the period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(4,385)</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(6,761)</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(3,164)</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during the period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260" w:type="dxa"/>
            <w:vAlign w:val="bottom"/>
            <w:shd w:val="clear" w:color="auto" w:fill="CCEEFF"/>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220" w:type="dxa"/>
            <w:vAlign w:val="bottom"/>
            <w:shd w:val="clear" w:color="auto" w:fill="CCEEFF"/>
          </w:tcPr>
          <w:p>
            <w:pPr>
              <w:jc w:val="right"/>
              <w:ind w:right="8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8"/>
        </w:trPr>
        <w:tc>
          <w:tcPr>
            <w:tcW w:w="5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144"/>
              <w:spacing w:after="0" w:line="68" w:lineRule="exact"/>
              <w:rPr>
                <w:sz w:val="20"/>
                <w:szCs w:val="20"/>
                <w:color w:val="auto"/>
              </w:rPr>
            </w:pPr>
            <w:r>
              <w:rPr>
                <w:rFonts w:ascii="Times New Roman" w:cs="Times New Roman" w:eastAsia="Times New Roman" w:hAnsi="Times New Roman"/>
                <w:sz w:val="7"/>
                <w:szCs w:val="7"/>
                <w:color w:val="auto"/>
              </w:rPr>
              <w:t>(13,383</w:t>
            </w:r>
          </w:p>
        </w:tc>
        <w:tc>
          <w:tcPr>
            <w:tcW w:w="112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41,913</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80,049</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192,591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202,883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Short term deposits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(245,000)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Short term deposits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179,000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long-term investments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8"/>
                <w:szCs w:val="18"/>
                <w:color w:val="auto"/>
              </w:rPr>
              <w:t>(500)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(1,785)</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(287)</w:t>
            </w:r>
          </w:p>
        </w:tc>
        <w:tc>
          <w:tcPr>
            <w:tcW w:w="1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(3,066)</w:t>
            </w:r>
          </w:p>
        </w:tc>
        <w:tc>
          <w:tcPr>
            <w:tcW w:w="1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162"/>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jc w:val="right"/>
              <w:ind w:right="1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jc w:val="right"/>
              <w:ind w:right="82"/>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88"/>
        </w:trPr>
        <w:tc>
          <w:tcPr>
            <w:tcW w:w="598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320" w:type="dxa"/>
            <w:vAlign w:val="bottom"/>
            <w:gridSpan w:val="2"/>
            <w:shd w:val="clear" w:color="auto" w:fill="CCEEFF"/>
          </w:tcPr>
          <w:p>
            <w:pPr>
              <w:jc w:val="right"/>
              <w:ind w:right="144"/>
              <w:spacing w:after="0" w:line="68" w:lineRule="exact"/>
              <w:rPr>
                <w:sz w:val="20"/>
                <w:szCs w:val="20"/>
                <w:color w:val="auto"/>
              </w:rPr>
            </w:pPr>
            <w:r>
              <w:rPr>
                <w:rFonts w:ascii="Times New Roman" w:cs="Times New Roman" w:eastAsia="Times New Roman" w:hAnsi="Times New Roman"/>
                <w:sz w:val="7"/>
                <w:szCs w:val="7"/>
                <w:color w:val="auto"/>
              </w:rPr>
              <w:t>(623</w:t>
            </w:r>
          </w:p>
        </w:tc>
        <w:tc>
          <w:tcPr>
            <w:tcW w:w="11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5980" w:type="dxa"/>
            <w:vAlign w:val="bottom"/>
            <w:tcBorders>
              <w:top w:val="single" w:sz="8" w:color="CCEEFF"/>
            </w:tcBorders>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66,985</w:t>
            </w:r>
          </w:p>
        </w:tc>
        <w:tc>
          <w:tcPr>
            <w:tcW w:w="260" w:type="dxa"/>
            <w:vAlign w:val="bottom"/>
            <w:tcBorders>
              <w:top w:val="single" w:sz="8" w:color="CCEEFF"/>
            </w:tcBorders>
          </w:tcPr>
          <w:p>
            <w:pPr>
              <w:spacing w:after="0"/>
              <w:rPr>
                <w:sz w:val="11"/>
                <w:szCs w:val="11"/>
                <w:color w:val="auto"/>
              </w:rPr>
            </w:pPr>
          </w:p>
        </w:tc>
        <w:tc>
          <w:tcPr>
            <w:tcW w:w="11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(382</w:t>
            </w:r>
          </w:p>
        </w:tc>
        <w:tc>
          <w:tcPr>
            <w:tcW w:w="220" w:type="dxa"/>
            <w:vAlign w:val="bottom"/>
            <w:tcBorders>
              <w:top w:val="single" w:sz="8" w:color="CCEEFF"/>
            </w:tcBorders>
          </w:tcPr>
          <w:p>
            <w:pPr>
              <w:jc w:val="right"/>
              <w:ind w:right="82"/>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jc w:val="right"/>
              <w:ind w:right="84"/>
              <w:spacing w:after="0" w:line="136"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120" w:type="dxa"/>
            <w:vAlign w:val="bottom"/>
            <w:tcBorders>
              <w:top w:val="single" w:sz="8" w:color="auto"/>
            </w:tcBorders>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(2,356</w:t>
            </w:r>
          </w:p>
        </w:tc>
        <w:tc>
          <w:tcPr>
            <w:tcW w:w="2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75"/>
        </w:trPr>
        <w:tc>
          <w:tcPr>
            <w:tcW w:w="598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320" w:type="dxa"/>
            <w:vAlign w:val="bottom"/>
            <w:gridSpan w:val="2"/>
          </w:tcPr>
          <w:p>
            <w:pPr>
              <w:jc w:val="right"/>
              <w:ind w:right="144"/>
              <w:spacing w:after="0" w:line="68" w:lineRule="exact"/>
              <w:rPr>
                <w:sz w:val="20"/>
                <w:szCs w:val="20"/>
                <w:color w:val="auto"/>
              </w:rPr>
            </w:pPr>
            <w:r>
              <w:rPr>
                <w:rFonts w:ascii="Times New Roman" w:cs="Times New Roman" w:eastAsia="Times New Roman" w:hAnsi="Times New Roman"/>
                <w:sz w:val="7"/>
                <w:szCs w:val="7"/>
                <w:b w:val="1"/>
                <w:bCs w:val="1"/>
                <w:color w:val="auto"/>
              </w:rPr>
              <w:t>(70,189</w:t>
            </w:r>
          </w:p>
        </w:tc>
        <w:tc>
          <w:tcPr>
            <w:tcW w:w="11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3,730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(1,122)</w:t>
            </w:r>
          </w:p>
        </w:tc>
        <w:tc>
          <w:tcPr>
            <w:tcW w:w="13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(1,030)</w:t>
            </w:r>
          </w:p>
        </w:tc>
        <w:tc>
          <w:tcPr>
            <w:tcW w:w="1320" w:type="dxa"/>
            <w:vAlign w:val="bottom"/>
            <w:gridSpan w:val="2"/>
          </w:tcPr>
          <w:p>
            <w:pPr>
              <w:jc w:val="right"/>
              <w:ind w:right="84"/>
              <w:spacing w:after="0"/>
              <w:rPr>
                <w:sz w:val="20"/>
                <w:szCs w:val="20"/>
                <w:color w:val="auto"/>
              </w:rPr>
            </w:pPr>
            <w:r>
              <w:rPr>
                <w:rFonts w:ascii="Times New Roman" w:cs="Times New Roman" w:eastAsia="Times New Roman" w:hAnsi="Times New Roman"/>
                <w:sz w:val="18"/>
                <w:szCs w:val="18"/>
                <w:color w:val="auto"/>
              </w:rPr>
              <w:t>(3,340)</w:t>
            </w:r>
          </w:p>
        </w:tc>
        <w:tc>
          <w:tcPr>
            <w:tcW w:w="122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 upon initial public offering, net of</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6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377,943</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underwriting discounts, commissions and other issuance costs</w:t>
            </w:r>
          </w:p>
        </w:tc>
        <w:tc>
          <w:tcPr>
            <w:tcW w:w="11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5980" w:type="dxa"/>
            <w:vAlign w:val="bottom"/>
            <w:vMerge w:val="continue"/>
            <w:shd w:val="clear" w:color="auto" w:fill="CCEEFF"/>
          </w:tcPr>
          <w:p>
            <w:pPr>
              <w:spacing w:after="0"/>
              <w:rPr>
                <w:sz w:val="3"/>
                <w:szCs w:val="3"/>
                <w:color w:val="auto"/>
              </w:rPr>
            </w:pPr>
          </w:p>
        </w:tc>
        <w:tc>
          <w:tcPr>
            <w:tcW w:w="1120" w:type="dxa"/>
            <w:vAlign w:val="bottom"/>
            <w:vMerge w:val="continue"/>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120" w:type="dxa"/>
            <w:vAlign w:val="bottom"/>
            <w:vMerge w:val="continue"/>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320" w:type="dxa"/>
            <w:vAlign w:val="bottom"/>
            <w:gridSpan w:val="2"/>
            <w:vMerge w:val="continue"/>
            <w:shd w:val="clear" w:color="auto" w:fill="CCEEFF"/>
          </w:tcPr>
          <w:p>
            <w:pPr>
              <w:spacing w:after="0"/>
              <w:rPr>
                <w:sz w:val="3"/>
                <w:szCs w:val="3"/>
                <w:color w:val="auto"/>
              </w:rPr>
            </w:pPr>
          </w:p>
        </w:tc>
        <w:tc>
          <w:tcPr>
            <w:tcW w:w="1120" w:type="dxa"/>
            <w:vAlign w:val="bottom"/>
            <w:vMerge w:val="continue"/>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2"/>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63"/>
        </w:trPr>
        <w:tc>
          <w:tcPr>
            <w:tcW w:w="5980" w:type="dxa"/>
            <w:vAlign w:val="bottom"/>
            <w:vMerge w:val="restart"/>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1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(1,700</w:t>
            </w:r>
          </w:p>
        </w:tc>
        <w:tc>
          <w:tcPr>
            <w:tcW w:w="260" w:type="dxa"/>
            <w:vAlign w:val="bottom"/>
            <w:vMerge w:val="continue"/>
          </w:tcPr>
          <w:p>
            <w:pPr>
              <w:spacing w:after="0"/>
              <w:rPr>
                <w:sz w:val="14"/>
                <w:szCs w:val="14"/>
                <w:color w:val="auto"/>
              </w:rPr>
            </w:pPr>
          </w:p>
        </w:tc>
        <w:tc>
          <w:tcPr>
            <w:tcW w:w="11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(704</w:t>
            </w:r>
          </w:p>
        </w:tc>
        <w:tc>
          <w:tcPr>
            <w:tcW w:w="220" w:type="dxa"/>
            <w:vAlign w:val="bottom"/>
            <w:vMerge w:val="continue"/>
          </w:tcPr>
          <w:p>
            <w:pPr>
              <w:spacing w:after="0"/>
              <w:rPr>
                <w:sz w:val="14"/>
                <w:szCs w:val="14"/>
                <w:color w:val="auto"/>
              </w:rPr>
            </w:pPr>
          </w:p>
        </w:tc>
        <w:tc>
          <w:tcPr>
            <w:tcW w:w="1320" w:type="dxa"/>
            <w:vAlign w:val="bottom"/>
            <w:gridSpan w:val="2"/>
            <w:vMerge w:val="restart"/>
          </w:tcPr>
          <w:p>
            <w:pPr>
              <w:jc w:val="right"/>
              <w:ind w:right="144"/>
              <w:spacing w:after="0" w:line="203" w:lineRule="exact"/>
              <w:rPr>
                <w:sz w:val="20"/>
                <w:szCs w:val="20"/>
                <w:color w:val="auto"/>
              </w:rPr>
            </w:pPr>
            <w:r>
              <w:rPr>
                <w:rFonts w:ascii="Times New Roman" w:cs="Times New Roman" w:eastAsia="Times New Roman" w:hAnsi="Times New Roman"/>
                <w:sz w:val="18"/>
                <w:szCs w:val="18"/>
                <w:b w:val="1"/>
                <w:bCs w:val="1"/>
                <w:color w:val="auto"/>
              </w:rPr>
              <w:t>378,333</w:t>
            </w:r>
          </w:p>
        </w:tc>
        <w:tc>
          <w:tcPr>
            <w:tcW w:w="1120" w:type="dxa"/>
            <w:vAlign w:val="bottom"/>
            <w:vMerge w:val="restart"/>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(2,316</w:t>
            </w:r>
          </w:p>
        </w:tc>
        <w:tc>
          <w:tcPr>
            <w:tcW w:w="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98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Exchange differences on balances of cash and cash equivalents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(1,591</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4,247</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17,337</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105,607</w:t>
            </w: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83,210</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518,072</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987,860</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503,554</w:t>
            </w:r>
          </w:p>
        </w:tc>
        <w:tc>
          <w:tcPr>
            <w:tcW w:w="220" w:type="dxa"/>
            <w:vAlign w:val="bottom"/>
          </w:tcPr>
          <w:p>
            <w:pPr>
              <w:spacing w:after="0"/>
              <w:rPr>
                <w:sz w:val="18"/>
                <w:szCs w:val="18"/>
                <w:color w:val="auto"/>
              </w:rPr>
            </w:pPr>
          </w:p>
        </w:tc>
        <w:tc>
          <w:tcPr>
            <w:tcW w:w="13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575,395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1,093,467</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586,764</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1,093,467</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586,764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20" w:hanging="332"/>
        <w:spacing w:after="0" w:line="312"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reclassified certain items in the unaudited interim condensed consolidated statements of cash flows within the cash flows from operating activities section for the comparative period June 30, 2025 This reclassification had no impact on the total cash flows from operating activities.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04"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Non-GAAP Financial Metrics and Key Performance Indicators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and the accompanying tables contain financial measures that are not calculated in accordance with International Financial Reporting Standards nor with Generally Accepted Accounting Principles (collectively “GAAP”) metrics, including Adjusted EBITDA, Adjusted Net Income and Adjusted Diluted EPS. The inclusion of the non-GAAP financial information is not intended to be considered in isolation or as a substitute for the financial information prepared and presented in accordance with GAAP. eToro believes these non-GAAP financial measures provide important supplemental information to management regarding financial and business trends used in assessing its results of operations. eToro believes excluding specified items provides a more meaningful comparison to the corresponding reporting periods and internal budgets and forecasts, assists investors in performing analysis that is consistent with financial models developed by investors and research analysts, provides management with a more relevant measure of operating performance and is more useful in assessing management performance.</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eToro urges its investors to review the reconciliations of Adjusted EBITDA, Adjusted Net Income and Adjusted Diluted EPS to their most directly comparable GAAP financial measure set forth herein, and not to rely on any single financial measure to evaluate its business.</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This press release includes key performance indicators that eToro’s management uses to help evaluate the business, measure its performance, identify trends, prepare financial projections and make business decisions. eToro’s key performance indicators include Funded Accounts, Assets Under Administration and Net Contribution. Definitions of performance indicators can be found in this press release.</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72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5"/>
        </w:trPr>
        <w:tc>
          <w:tcPr>
            <w:tcW w:w="39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5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39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19"/>
                <w:szCs w:val="19"/>
                <w:color w:val="auto"/>
              </w:rPr>
            </w:pPr>
          </w:p>
        </w:tc>
      </w:tr>
      <w:tr>
        <w:trPr>
          <w:trHeight w:val="216"/>
        </w:trPr>
        <w:tc>
          <w:tcPr>
            <w:tcW w:w="39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56,817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38,500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146,954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133,197</w:t>
            </w:r>
          </w:p>
        </w:tc>
      </w:tr>
      <w:tr>
        <w:trPr>
          <w:trHeight w:val="203"/>
        </w:trPr>
        <w:tc>
          <w:tcPr>
            <w:tcW w:w="39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Finance expense, net</w:t>
            </w:r>
          </w:p>
        </w:tc>
        <w:tc>
          <w:tcPr>
            <w:tcW w:w="20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2,559</w:t>
            </w: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961</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8,351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2,151</w:t>
            </w:r>
          </w:p>
        </w:tc>
        <w:tc>
          <w:tcPr>
            <w:tcW w:w="100" w:type="dxa"/>
            <w:vAlign w:val="bottom"/>
            <w:tcBorders>
              <w:top w:val="single" w:sz="8" w:color="CCEEFF"/>
            </w:tcBorders>
          </w:tcPr>
          <w:p>
            <w:pPr>
              <w:spacing w:after="0"/>
              <w:rPr>
                <w:sz w:val="17"/>
                <w:szCs w:val="17"/>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3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11,987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28,010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21,159</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Share-base payment expense</w:t>
            </w:r>
          </w:p>
        </w:tc>
        <w:tc>
          <w:tcPr>
            <w:tcW w:w="3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23,837</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3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7,063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5,875</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3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4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r>
      <w:tr>
        <w:trPr>
          <w:trHeight w:val="250"/>
        </w:trPr>
        <w:tc>
          <w:tcPr>
            <w:tcW w:w="39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39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20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77,908</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54,593</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230,049</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196,269</w:t>
            </w:r>
          </w:p>
        </w:tc>
        <w:tc>
          <w:tcPr>
            <w:tcW w:w="100" w:type="dxa"/>
            <w:vAlign w:val="bottom"/>
          </w:tcPr>
          <w:p>
            <w:pPr>
              <w:spacing w:after="0"/>
              <w:rPr>
                <w:sz w:val="18"/>
                <w:szCs w:val="18"/>
                <w:color w:val="auto"/>
              </w:rPr>
            </w:pPr>
          </w:p>
        </w:tc>
      </w:tr>
      <w:tr>
        <w:trPr>
          <w:trHeight w:val="655"/>
        </w:trPr>
        <w:tc>
          <w:tcPr>
            <w:tcW w:w="39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76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8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76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56,817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38,500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146,954</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133,197</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Share-base payment expense</w:t>
            </w:r>
          </w:p>
        </w:tc>
        <w:tc>
          <w:tcPr>
            <w:tcW w:w="18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4,300</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5,900</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12,132</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23,837</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3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7,063</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3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(1,351)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before tax</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187,084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166,894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62"/>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impact</w:t>
            </w:r>
          </w:p>
        </w:tc>
        <w:tc>
          <w:tcPr>
            <w:tcW w:w="3260" w:type="dxa"/>
            <w:vAlign w:val="bottom"/>
            <w:gridSpan w:val="3"/>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80" w:type="dxa"/>
            <w:vAlign w:val="bottom"/>
          </w:tcPr>
          <w:p>
            <w:pPr>
              <w:jc w:val="right"/>
              <w:ind w:right="14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160" w:type="dxa"/>
            <w:vAlign w:val="bottom"/>
          </w:tcPr>
          <w:p>
            <w:pPr>
              <w:jc w:val="right"/>
              <w:ind w:right="2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74"/>
        </w:trPr>
        <w:tc>
          <w:tcPr>
            <w:tcW w:w="3960" w:type="dxa"/>
            <w:vAlign w:val="bottom"/>
            <w:vMerge w:val="continue"/>
          </w:tcPr>
          <w:p>
            <w:pPr>
              <w:spacing w:after="0"/>
              <w:rPr>
                <w:sz w:val="6"/>
                <w:szCs w:val="6"/>
                <w:color w:val="auto"/>
              </w:rPr>
            </w:pPr>
          </w:p>
        </w:tc>
        <w:tc>
          <w:tcPr>
            <w:tcW w:w="3260" w:type="dxa"/>
            <w:vAlign w:val="bottom"/>
            <w:gridSpan w:val="3"/>
          </w:tcPr>
          <w:p>
            <w:pPr>
              <w:jc w:val="right"/>
              <w:ind w:right="280"/>
              <w:spacing w:after="0" w:line="68" w:lineRule="exact"/>
              <w:rPr>
                <w:sz w:val="20"/>
                <w:szCs w:val="20"/>
                <w:color w:val="auto"/>
              </w:rPr>
            </w:pPr>
            <w:r>
              <w:rPr>
                <w:rFonts w:ascii="Times New Roman" w:cs="Times New Roman" w:eastAsia="Times New Roman" w:hAnsi="Times New Roman"/>
                <w:sz w:val="7"/>
                <w:szCs w:val="7"/>
                <w:color w:val="auto"/>
              </w:rPr>
              <w:t>(741</w:t>
            </w:r>
          </w:p>
        </w:tc>
        <w:tc>
          <w:tcPr>
            <w:tcW w:w="1380" w:type="dxa"/>
            <w:vAlign w:val="bottom"/>
            <w:gridSpan w:val="2"/>
          </w:tcPr>
          <w:p>
            <w:pPr>
              <w:jc w:val="right"/>
              <w:ind w:right="280"/>
              <w:spacing w:after="0" w:line="68" w:lineRule="exact"/>
              <w:rPr>
                <w:sz w:val="20"/>
                <w:szCs w:val="20"/>
                <w:color w:val="auto"/>
              </w:rPr>
            </w:pPr>
            <w:r>
              <w:rPr>
                <w:rFonts w:ascii="Times New Roman" w:cs="Times New Roman" w:eastAsia="Times New Roman" w:hAnsi="Times New Roman"/>
                <w:sz w:val="7"/>
                <w:szCs w:val="7"/>
                <w:color w:val="auto"/>
              </w:rPr>
              <w:t>(951</w:t>
            </w:r>
          </w:p>
        </w:tc>
        <w:tc>
          <w:tcPr>
            <w:tcW w:w="11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8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60,330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44,613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180,660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162,275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86,648,439</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77,730,860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82,760,081</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77,646,136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3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100,396,074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86,707,195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94,580,493</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86,635,250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tcPr>
          <w:p>
            <w:pPr>
              <w:spacing w:after="0"/>
              <w:rPr>
                <w:sz w:val="20"/>
                <w:szCs w:val="20"/>
                <w:color w:val="auto"/>
              </w:rPr>
            </w:pPr>
          </w:p>
        </w:tc>
        <w:tc>
          <w:tcPr>
            <w:tcW w:w="18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GAAP EPS</w:t>
            </w:r>
          </w:p>
        </w:tc>
        <w:tc>
          <w:tcPr>
            <w:tcW w:w="18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GAAP EPS</w:t>
            </w:r>
          </w:p>
        </w:tc>
        <w:tc>
          <w:tcPr>
            <w:tcW w:w="18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Non - GAAP EPS</w:t>
            </w:r>
          </w:p>
        </w:tc>
        <w:tc>
          <w:tcPr>
            <w:tcW w:w="18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Non - GAAP EPS</w:t>
            </w:r>
          </w:p>
        </w:tc>
        <w:tc>
          <w:tcPr>
            <w:tcW w:w="18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3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Definitions of Certain Metrics</w:t>
      </w:r>
    </w:p>
    <w:p>
      <w:pPr>
        <w:spacing w:after="0" w:line="225"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financial metric that we define as net income adjusted to exclude finance and other expenses,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income, share-based payment expense, depreciation and amortization, employee non-cash expense, one-time transaction costs and other expense.</w:t>
      </w:r>
    </w:p>
    <w:p>
      <w:pPr>
        <w:spacing w:after="0" w:line="15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Diluted Earnings Per Share (Adjusted diluted EPS): </w:t>
      </w:r>
      <w:r>
        <w:rPr>
          <w:rFonts w:ascii="Times New Roman" w:cs="Times New Roman" w:eastAsia="Times New Roman" w:hAnsi="Times New Roman"/>
          <w:sz w:val="18"/>
          <w:szCs w:val="18"/>
          <w:color w:val="auto"/>
        </w:rPr>
        <w:t>Adjusted diluted EPS is a non-GAAP financial metric and is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attributable to common shareholders by the diluted shares outstanding during the period. Adjusted diluted EPS excludes the impact of the same non-recurring or non-operational items to provide investors with a normalized measure of profitability on a per-share basis.</w:t>
      </w:r>
    </w:p>
    <w:p>
      <w:pPr>
        <w:spacing w:after="0" w:line="17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Adjusted Net Income refers to a company’s net income after making adjustments for non-recurring, one-time, or non-cash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restructuring charges, asset impairments, acquisition-related expenses, or gains/losses from discontinued operations.</w:t>
      </w:r>
    </w:p>
    <w:p>
      <w:pPr>
        <w:spacing w:after="0" w:line="15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AUA reflects the aggregate fair value of assets held by users within the platform, including those held by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for execution or custody services, categorized as follows:</w:t>
      </w:r>
    </w:p>
    <w:p>
      <w:pPr>
        <w:spacing w:after="0" w:line="15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Includes all cryptocurrencies and users’ crypto assets held in eToro digital wallets.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Equities: Includes stocks, ETFs, and assets managed under the Spaceship program.</w:t>
      </w:r>
    </w:p>
    <w:p>
      <w:pPr>
        <w:spacing w:after="0" w:line="225"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Includes customers’ uninvested cash (e.g., cash balances, eMoney balances, in-process cashouts), as well as cash used for margin or posted as collateral for leveraged positions.</w:t>
      </w:r>
    </w:p>
    <w:p>
      <w:pPr>
        <w:spacing w:after="0" w:line="15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Funded Accounts are users who have completed KYC, AML and other onboarding processes, activated their account, deposited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at least one trade at any time and have a positive account balance (invested or uninvested). Funded Accounts represent the deepest level of our user acquisition funnel and are the users from whom we generate total commission.</w:t>
      </w:r>
    </w:p>
    <w:p>
      <w:pPr>
        <w:spacing w:after="0" w:line="171"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Contribution to evaluate the net contributions of our users’ activity on our platform before considering the overhead costs associated with our operations.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(Equities, Commodities and Currencies) is equal to our Net trading income from equities, commodities and currencies.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(Cryptoassets) is equal to Revenue from cryptoassets plus Net trading income (loss) from cryptoasset derivatives less Cost of revenue from cryptoassets, excluding the net contributions from blockchain rewards and staking activity.</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Contribution represents Net interest contribution from users plus Other interest income plus the net contributions of staking activity, less Margin interest expense.</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spacing w:after="0" w:line="175"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and Other is the remainder of Currency conversion and other income not attributable to eToro Money plus the net contributions of blockchain rewards.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right="30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Net Income: </w:t>
      </w:r>
      <w:r>
        <w:rPr>
          <w:rFonts w:ascii="Times New Roman" w:cs="Times New Roman" w:eastAsia="Times New Roman" w:hAnsi="Times New Roman"/>
          <w:sz w:val="17"/>
          <w:szCs w:val="17"/>
          <w:color w:val="auto"/>
        </w:rPr>
        <w:t>Net income represents the company’s total earnings or profit for a given period, calculated as total revenue minus all expenses,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costs, depreciation, interest, taxes, and other income or expenses. It reflects the company’s overall profitability according to GAAP standards.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financial outlook, and market positioning and share repurchase authorization, including execution of the expected accelerated share repurchase program.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to artificial intelligence (“AI”); changes in general economic or political conditions; changes to accounting principles and guidelines; unexpected costs or expenses; and other factors described in “Risk Factors” in our prospectus, dated May 13, 2025, filed with the Securities and Exchange Commission (“SEC”), as such factors may be updated from time to time in eToro’s filings with the SEC, which are, or will be, accessible on the SEC’s website at www.sec.gov.</w:t>
      </w:r>
    </w:p>
    <w:p>
      <w:pPr>
        <w:spacing w:after="0" w:line="19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eToro Group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5" Type="http://schemas.openxmlformats.org/officeDocument/2006/relationships/hyperlink" Target="http://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2025-11-10T06:23:38Z</dcterms:created>
  <dcterms:modified xsi:type="dcterms:W3CDTF">2025-11-10T06:23:38Z</dcterms:modified>
</cp:coreProperties>
</file>