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eToro Group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shares, no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China Vered Financial Holding Corp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4,421,953.00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4,421,953.00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4,421,953.00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All shares are held of record by MC (as defined in Item 2(a) below) and consists of 4,421,953 Class A common shares. MC is the wholly owned subsidiary of CMSI (as defined in Item 2(a) below); CMSI is the wholly owned subsidiary of CMSC (as defined in Item 2(a) below); and CMSC is the wholly owned subsidiary of CVFH (as defined in Item 2(a) below). Each of MC, CMSI, CMSC and CVFH may be deemed to share voting, investment and dispositive power with respect to these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CM Strategic Capital Holding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4,421,953.00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4,421,953.00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4,421,953.00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All shares are held of record by MC and consists of 4,421,953 Class A common shares. MC is the wholly owned subsidiary of CMSI; CMSI is the wholly owned subsidiary of CMSC; and CMSC is the wholly owned subsidiary of CVFH. Each of MC, CMSI, CMSC and CVFH may be deemed to share voting, investment and dispositive power with respect to these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CM Strategic Investment Management Holding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4,421,953.00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4,421,953.00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4,421,953.00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All shares are held of record by MC and consists of 4,421,953 Class A common shares. MC is the wholly owned subsidiary of CMSI; CMSI is the wholly owned subsidiary of CMSC; and CMSC is the wholly owned subsidiary of CVFH. Each of MC, CMSI, CMSC and CVFH may be deemed to share voting, investment and dispositive power with respect to these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Mighty Commander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4,421,953.00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4,421,953.00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4,421,953.00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All shares are held of record by MC and consists of 4,421,953 Class A common shares. MC is the wholly owned subsidiary of CMSI; CMSI is the wholly owned subsidiary of CMSC; and CMSC is the wholly owned subsidiary of CVFH. Each of MC, CMSI, CMSC and CVFH may be deemed to share voting, investment and dispositive power with respect to these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China Vered Financial Investment Management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On November 7, 2025, SPC (as defined in Item 2(a)) converted the entirety of its 2,392,876 Class B common shares, no par value, into 2,392,876 Class A common shares. Upon conversion of such Class B common shares, SPC held an aggregate of 4,421,953 Class A common shares on the date thereof. Pursuant to a Share Purchase Agreement, dated July 8, 2026, entered between MC and SPC, MC had purchased the entirety of the 4,421,953 Class A common shares held by SPC for valuable consideration. SPC is the wholly owned subsidiary of CVCC (as defined in Item 2(a) below); CVCC is the wholly owned subsidiary of CVFI (as defined in Item 2(a) below); and CVFI is the wholly owned subsidiary of CVFH.</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China Vered Capital (Cayman)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On November 7, 2025, SPC converted the entirety of its 2,392,876 Class B common shares, no par value, into 2,392,876 Class A common shares. Upon conversion of such Class B common shares, SPC held an aggregate of 4,421,953 Class A common shares on the date thereof. Pursuant to a Share Purchase Agreement, dated July 8, 2026, entered between MC and SPC, MC had purchased the entirety of the 4,421,953 Class A common shares held by SPC for valuable consideration. SPC is the wholly owned subsidiary of CVCC; CVCC is the wholly owned subsidiary of CVFI; and CVFI is the wholly owned subsidiary of CVFH.</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CM SPC acting on behalf of CM Equities SP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On November 7, 2025, SPC converted the entirety of its 2,392,876 Class B common shares, no par value, into 2,392,876 Class A common shares. Upon conversion of such Class B common shares, SPC held an aggregate of 4,421,953 Class A common shares on the date thereof. Pursuant to a Share Purchase Agreement, dated July 8, 2026, entered between MC and SPC, MC had purchased the entirety of the 4,421,953 Class A common shares held by SPC for valuable consideration. SPC is the wholly owned subsidiary of CVCC; CVCC is the wholly owned subsidiary of CVFI; and CVFI is the wholly owned subsidiary of CVFH.</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eToro Group Ltd.</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 Sheshet Hayamim St., Bnei Brak, Israel 5120261</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China Vered Financial Holding Corporation Limited ("CVFH"), a company incorporated under the laws of Hong Kong. The shares of CVFH are listed on the Main Board of The Stock Exchange of Hong Kong Limited (stock code: 245); CM Strategic Capital Holding Limited ("CMSC"), a company incorporated under the laws of Hong Kong; CM Strategic Investment Management Holding Limited ("CMSI"), a company incorporated under the laws of Hong Kong; Mighty Commander Limited ("MC"), a company incorporated under the laws of the British Virgin Islands; China Vered Financial Investment Management Limited ("CVFI"), a company incorporated under the laws of Hong Kong; China Vered Capital (Cayman) Limited ("CVCC"), a company incorporated under the laws of the Cayman Islands; and CM SPC ("SPC"), a segregated portfolio company incorporated under the laws of the Cayman Islands, acting on behalf of CM Equities SP, a segregated portfolio of the SPC. (each, a "Reporting Person" and, collectively, "Reporting Persons") The agreement among the Reporting Persons to file jointly in accordance with the provisions of Rule 13d-1(k)(1) under the Act is attached hereto as Exhibit 99.1. Each Reporting Person disclaims beneficial ownership of all securities reported in this Statement except to the extent of such Reporting Person's pecuniary interest therein, if any, other than those securities reported herein as being held directly by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Reporting Persons named in Item 2(a) is Suites 2803-04, 28/F, South Island Place, 8 Wong Chuk Hang Road, Hong Kong.</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For each of CVFH, CMSC, CMSI and CVFI, Hong Kong. For each of CVCC and SPC, the Cayman Islands. For MC, the British Virgin Islands.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shares, no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cover page tables above. 4,421,953 Class A common shares.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 tables above. Percentage ownership based on 82,851,422 shares outstanding, comprised of (i) 68,647,904 Class A common shares and (ii) 14,203,518 Class B common shares outstanding as of December 31, 2025, as reported by the Issuer in the Annual Report on Form 20-F for the year ended December 31, 2025 filed on March 2,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 tables above.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China Vered Financial Holding Corp Ltd</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6"/>
        <w:gridCol w:w="4499"/>
      </w:tblGrid>
      <w:tr>
        <w:trPr/>
        <w:tc>
          <w:tcPr>
            <w:tcW w:w="57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Xie Fang</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Xie Fang,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499" w:type="dxa"/>
            <w:tcBorders/>
            <w:vAlign w:val="center"/>
          </w:tcPr>
          <w:p>
            <w:pPr>
              <w:pStyle w:val="TableContents"/>
              <w:bidi w:val="0"/>
              <w:spacing w:before="0" w:after="283"/>
              <w:jc w:val="left"/>
              <w:rPr>
                <w:sz w:val="4"/>
                <w:szCs w:val="4"/>
              </w:rPr>
            </w:pPr>
            <w:r>
              <w:rPr>
                <w:sz w:val="4"/>
                <w:szCs w:val="4"/>
              </w:rPr>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CM Strategic Capital Holding Limited</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5"/>
        <w:gridCol w:w="4450"/>
      </w:tblGrid>
      <w:tr>
        <w:trPr/>
        <w:tc>
          <w:tcPr>
            <w:tcW w:w="57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Lau Hoi Leung</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Lau Hoi Leung, Director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4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71"/>
        <w:gridCol w:w="5034"/>
      </w:tblGrid>
      <w:tr>
        <w:trPr/>
        <w:tc>
          <w:tcPr>
            <w:tcW w:w="5171" w:type="dxa"/>
            <w:tcBorders/>
            <w:vAlign w:val="center"/>
          </w:tcPr>
          <w:p>
            <w:pPr>
              <w:pStyle w:val="TableContents"/>
              <w:bidi w:val="0"/>
              <w:spacing w:before="0" w:after="0"/>
              <w:jc w:val="left"/>
              <w:rPr/>
            </w:pPr>
            <w:r>
              <w:rPr/>
              <w:t> </w:t>
            </w:r>
          </w:p>
          <w:tbl>
            <w:tblPr>
              <w:tblW w:w="5446" w:type="dxa"/>
              <w:jc w:val="left"/>
              <w:tblInd w:w="0" w:type="dxa"/>
              <w:tblLayout w:type="fixed"/>
              <w:tblCellMar>
                <w:top w:w="28" w:type="dxa"/>
                <w:left w:w="28" w:type="dxa"/>
                <w:bottom w:w="28" w:type="dxa"/>
                <w:right w:w="28" w:type="dxa"/>
              </w:tblCellMar>
            </w:tblPr>
            <w:tblGrid>
              <w:gridCol w:w="5446"/>
            </w:tblGrid>
            <w:tr>
              <w:trPr/>
              <w:tc>
                <w:tcPr>
                  <w:tcW w:w="5446" w:type="dxa"/>
                  <w:tcBorders/>
                  <w:vAlign w:val="center"/>
                </w:tcPr>
                <w:p>
                  <w:pPr>
                    <w:pStyle w:val="TableContents"/>
                    <w:bidi w:val="0"/>
                    <w:spacing w:before="0" w:after="0"/>
                    <w:jc w:val="left"/>
                    <w:rPr/>
                  </w:pPr>
                  <w:r>
                    <w:rPr/>
                    <w:t>CM Strategic Investment Management Holding Limited</w:t>
                  </w:r>
                </w:p>
              </w:tc>
            </w:tr>
          </w:tbl>
          <w:p>
            <w:pPr>
              <w:pStyle w:val="TableContents"/>
              <w:bidi w:val="0"/>
              <w:spacing w:before="0" w:after="283"/>
              <w:jc w:val="left"/>
              <w:rPr/>
            </w:pPr>
            <w:r>
              <w:rPr/>
            </w:r>
          </w:p>
        </w:tc>
        <w:tc>
          <w:tcPr>
            <w:tcW w:w="50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5"/>
        <w:gridCol w:w="4450"/>
      </w:tblGrid>
      <w:tr>
        <w:trPr/>
        <w:tc>
          <w:tcPr>
            <w:tcW w:w="57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Lau Hoi Leung</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Lau Hoi Leung, Director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450" w:type="dxa"/>
            <w:tcBorders/>
            <w:vAlign w:val="center"/>
          </w:tcPr>
          <w:p>
            <w:pPr>
              <w:pStyle w:val="TableContents"/>
              <w:bidi w:val="0"/>
              <w:spacing w:before="0" w:after="283"/>
              <w:jc w:val="left"/>
              <w:rPr>
                <w:sz w:val="4"/>
                <w:szCs w:val="4"/>
              </w:rPr>
            </w:pPr>
            <w:r>
              <w:rPr>
                <w:sz w:val="4"/>
                <w:szCs w:val="4"/>
              </w:rPr>
            </w:r>
          </w:p>
        </w:tc>
      </w:tr>
    </w:tbl>
    <w:tbl>
      <w:tblPr>
        <w:tblW w:w="6030" w:type="dxa"/>
        <w:jc w:val="left"/>
        <w:tblInd w:w="0" w:type="dxa"/>
        <w:tblLayout w:type="fixed"/>
        <w:tblCellMar>
          <w:top w:w="28" w:type="dxa"/>
          <w:left w:w="28" w:type="dxa"/>
          <w:bottom w:w="28" w:type="dxa"/>
          <w:right w:w="28" w:type="dxa"/>
        </w:tblCellMar>
      </w:tblPr>
      <w:tblGrid>
        <w:gridCol w:w="3015"/>
        <w:gridCol w:w="3015"/>
      </w:tblGrid>
      <w:tr>
        <w:trPr/>
        <w:tc>
          <w:tcPr>
            <w:tcW w:w="3015" w:type="dxa"/>
            <w:tcBorders/>
            <w:vAlign w:val="center"/>
          </w:tcPr>
          <w:p>
            <w:pPr>
              <w:pStyle w:val="TableContents"/>
              <w:bidi w:val="0"/>
              <w:spacing w:before="0" w:after="0"/>
              <w:jc w:val="left"/>
              <w:rPr/>
            </w:pPr>
            <w:r>
              <w:rPr/>
              <w:t> </w:t>
            </w:r>
          </w:p>
          <w:tbl>
            <w:tblPr>
              <w:tblW w:w="2881" w:type="dxa"/>
              <w:jc w:val="left"/>
              <w:tblInd w:w="0" w:type="dxa"/>
              <w:tblLayout w:type="fixed"/>
              <w:tblCellMar>
                <w:top w:w="28" w:type="dxa"/>
                <w:left w:w="28" w:type="dxa"/>
                <w:bottom w:w="28" w:type="dxa"/>
                <w:right w:w="28" w:type="dxa"/>
              </w:tblCellMar>
            </w:tblPr>
            <w:tblGrid>
              <w:gridCol w:w="2881"/>
            </w:tblGrid>
            <w:tr>
              <w:trPr/>
              <w:tc>
                <w:tcPr>
                  <w:tcW w:w="2881" w:type="dxa"/>
                  <w:tcBorders/>
                  <w:vAlign w:val="center"/>
                </w:tcPr>
                <w:p>
                  <w:pPr>
                    <w:pStyle w:val="TableContents"/>
                    <w:bidi w:val="0"/>
                    <w:spacing w:before="0" w:after="0"/>
                    <w:jc w:val="left"/>
                    <w:rPr/>
                  </w:pPr>
                  <w:r>
                    <w:rPr/>
                    <w:t>Mighty Commander Limited</w:t>
                  </w:r>
                </w:p>
              </w:tc>
            </w:tr>
          </w:tbl>
          <w:p>
            <w:pPr>
              <w:pStyle w:val="TableContents"/>
              <w:bidi w:val="0"/>
              <w:spacing w:before="0" w:after="283"/>
              <w:jc w:val="left"/>
              <w:rPr/>
            </w:pPr>
            <w:r>
              <w:rPr/>
            </w:r>
          </w:p>
        </w:tc>
        <w:tc>
          <w:tcPr>
            <w:tcW w:w="3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0"/>
        <w:gridCol w:w="4385"/>
      </w:tblGrid>
      <w:tr>
        <w:trPr/>
        <w:tc>
          <w:tcPr>
            <w:tcW w:w="58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Huang Yinying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Huang Yinying, Director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76"/>
        <w:gridCol w:w="5029"/>
      </w:tblGrid>
      <w:tr>
        <w:trPr/>
        <w:tc>
          <w:tcPr>
            <w:tcW w:w="5176" w:type="dxa"/>
            <w:tcBorders/>
            <w:vAlign w:val="center"/>
          </w:tcPr>
          <w:p>
            <w:pPr>
              <w:pStyle w:val="TableContents"/>
              <w:bidi w:val="0"/>
              <w:spacing w:before="0" w:after="0"/>
              <w:jc w:val="left"/>
              <w:rPr/>
            </w:pPr>
            <w:r>
              <w:rPr/>
              <w:t> </w:t>
            </w:r>
          </w:p>
          <w:tbl>
            <w:tblPr>
              <w:tblW w:w="5491" w:type="dxa"/>
              <w:jc w:val="left"/>
              <w:tblInd w:w="0" w:type="dxa"/>
              <w:tblLayout w:type="fixed"/>
              <w:tblCellMar>
                <w:top w:w="28" w:type="dxa"/>
                <w:left w:w="28" w:type="dxa"/>
                <w:bottom w:w="28" w:type="dxa"/>
                <w:right w:w="28" w:type="dxa"/>
              </w:tblCellMar>
            </w:tblPr>
            <w:tblGrid>
              <w:gridCol w:w="5491"/>
            </w:tblGrid>
            <w:tr>
              <w:trPr/>
              <w:tc>
                <w:tcPr>
                  <w:tcW w:w="5491" w:type="dxa"/>
                  <w:tcBorders/>
                  <w:vAlign w:val="center"/>
                </w:tcPr>
                <w:p>
                  <w:pPr>
                    <w:pStyle w:val="TableContents"/>
                    <w:bidi w:val="0"/>
                    <w:spacing w:before="0" w:after="0"/>
                    <w:jc w:val="left"/>
                    <w:rPr/>
                  </w:pPr>
                  <w:r>
                    <w:rPr/>
                    <w:t>China Vered Financial Investment Management Limited</w:t>
                  </w:r>
                </w:p>
              </w:tc>
            </w:tr>
          </w:tbl>
          <w:p>
            <w:pPr>
              <w:pStyle w:val="TableContents"/>
              <w:bidi w:val="0"/>
              <w:spacing w:before="0" w:after="283"/>
              <w:jc w:val="left"/>
              <w:rPr/>
            </w:pPr>
            <w:r>
              <w:rPr/>
            </w:r>
          </w:p>
        </w:tc>
        <w:tc>
          <w:tcPr>
            <w:tcW w:w="5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6"/>
        <w:gridCol w:w="4499"/>
      </w:tblGrid>
      <w:tr>
        <w:trPr/>
        <w:tc>
          <w:tcPr>
            <w:tcW w:w="57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Xie Fang</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Xie Fang,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499" w:type="dxa"/>
            <w:tcBorders/>
            <w:vAlign w:val="center"/>
          </w:tcPr>
          <w:p>
            <w:pPr>
              <w:pStyle w:val="TableContents"/>
              <w:bidi w:val="0"/>
              <w:spacing w:before="0" w:after="283"/>
              <w:jc w:val="left"/>
              <w:rPr>
                <w:sz w:val="4"/>
                <w:szCs w:val="4"/>
              </w:rPr>
            </w:pPr>
            <w:r>
              <w:rPr>
                <w:sz w:val="4"/>
                <w:szCs w:val="4"/>
              </w:rPr>
            </w:r>
          </w:p>
        </w:tc>
      </w:tr>
    </w:tbl>
    <w:tbl>
      <w:tblPr>
        <w:tblW w:w="8178" w:type="dxa"/>
        <w:jc w:val="left"/>
        <w:tblInd w:w="0" w:type="dxa"/>
        <w:tblLayout w:type="fixed"/>
        <w:tblCellMar>
          <w:top w:w="28" w:type="dxa"/>
          <w:left w:w="28" w:type="dxa"/>
          <w:bottom w:w="28" w:type="dxa"/>
          <w:right w:w="28" w:type="dxa"/>
        </w:tblCellMar>
      </w:tblPr>
      <w:tblGrid>
        <w:gridCol w:w="4089"/>
        <w:gridCol w:w="4089"/>
      </w:tblGrid>
      <w:tr>
        <w:trPr/>
        <w:tc>
          <w:tcPr>
            <w:tcW w:w="4089" w:type="dxa"/>
            <w:tcBorders/>
            <w:vAlign w:val="center"/>
          </w:tcPr>
          <w:p>
            <w:pPr>
              <w:pStyle w:val="TableContents"/>
              <w:bidi w:val="0"/>
              <w:spacing w:before="0" w:after="0"/>
              <w:jc w:val="left"/>
              <w:rPr/>
            </w:pPr>
            <w:r>
              <w:rPr/>
              <w:t> </w:t>
            </w:r>
          </w:p>
          <w:tbl>
            <w:tblPr>
              <w:tblW w:w="3916" w:type="dxa"/>
              <w:jc w:val="left"/>
              <w:tblInd w:w="0" w:type="dxa"/>
              <w:tblLayout w:type="fixed"/>
              <w:tblCellMar>
                <w:top w:w="28" w:type="dxa"/>
                <w:left w:w="28" w:type="dxa"/>
                <w:bottom w:w="28" w:type="dxa"/>
                <w:right w:w="28" w:type="dxa"/>
              </w:tblCellMar>
            </w:tblPr>
            <w:tblGrid>
              <w:gridCol w:w="3916"/>
            </w:tblGrid>
            <w:tr>
              <w:trPr/>
              <w:tc>
                <w:tcPr>
                  <w:tcW w:w="3916" w:type="dxa"/>
                  <w:tcBorders/>
                  <w:vAlign w:val="center"/>
                </w:tcPr>
                <w:p>
                  <w:pPr>
                    <w:pStyle w:val="TableContents"/>
                    <w:bidi w:val="0"/>
                    <w:spacing w:before="0" w:after="0"/>
                    <w:jc w:val="left"/>
                    <w:rPr/>
                  </w:pPr>
                  <w:r>
                    <w:rPr/>
                    <w:t>China Vered Capital (Cayman) Limited</w:t>
                  </w:r>
                </w:p>
              </w:tc>
            </w:tr>
          </w:tbl>
          <w:p>
            <w:pPr>
              <w:pStyle w:val="TableContents"/>
              <w:bidi w:val="0"/>
              <w:spacing w:before="0" w:after="283"/>
              <w:jc w:val="left"/>
              <w:rPr/>
            </w:pPr>
            <w:r>
              <w:rPr/>
            </w:r>
          </w:p>
        </w:tc>
        <w:tc>
          <w:tcPr>
            <w:tcW w:w="4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6"/>
        <w:gridCol w:w="4499"/>
      </w:tblGrid>
      <w:tr>
        <w:trPr/>
        <w:tc>
          <w:tcPr>
            <w:tcW w:w="57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Xie Fang</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Xie Fang,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499" w:type="dxa"/>
            <w:tcBorders/>
            <w:vAlign w:val="center"/>
          </w:tcPr>
          <w:p>
            <w:pPr>
              <w:pStyle w:val="TableContents"/>
              <w:bidi w:val="0"/>
              <w:spacing w:before="0" w:after="283"/>
              <w:jc w:val="left"/>
              <w:rPr>
                <w:sz w:val="4"/>
                <w:szCs w:val="4"/>
              </w:rPr>
            </w:pPr>
            <w:r>
              <w:rPr>
                <w:sz w:val="4"/>
                <w:szCs w:val="4"/>
              </w:rPr>
            </w:r>
          </w:p>
        </w:tc>
      </w:tr>
    </w:tbl>
    <w:tbl>
      <w:tblPr>
        <w:tblW w:w="9236" w:type="dxa"/>
        <w:jc w:val="left"/>
        <w:tblInd w:w="0" w:type="dxa"/>
        <w:tblLayout w:type="fixed"/>
        <w:tblCellMar>
          <w:top w:w="28" w:type="dxa"/>
          <w:left w:w="28" w:type="dxa"/>
          <w:bottom w:w="28" w:type="dxa"/>
          <w:right w:w="28" w:type="dxa"/>
        </w:tblCellMar>
      </w:tblPr>
      <w:tblGrid>
        <w:gridCol w:w="4618"/>
        <w:gridCol w:w="4618"/>
      </w:tblGrid>
      <w:tr>
        <w:trPr/>
        <w:tc>
          <w:tcPr>
            <w:tcW w:w="4618" w:type="dxa"/>
            <w:tcBorders/>
            <w:vAlign w:val="center"/>
          </w:tcPr>
          <w:p>
            <w:pPr>
              <w:pStyle w:val="TableContents"/>
              <w:bidi w:val="0"/>
              <w:spacing w:before="0" w:after="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0"/>
                    <w:jc w:val="left"/>
                    <w:rPr/>
                  </w:pPr>
                  <w:r>
                    <w:rPr/>
                    <w:t>CM SPC acting on behalf of CM Equities SP</w:t>
                  </w:r>
                </w:p>
              </w:tc>
            </w:tr>
          </w:tbl>
          <w:p>
            <w:pPr>
              <w:pStyle w:val="TableContents"/>
              <w:bidi w:val="0"/>
              <w:spacing w:before="0" w:after="283"/>
              <w:jc w:val="left"/>
              <w:rPr/>
            </w:pPr>
            <w:r>
              <w:rPr/>
            </w:r>
          </w:p>
        </w:tc>
        <w:tc>
          <w:tcPr>
            <w:tcW w:w="46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06"/>
        <w:gridCol w:w="4499"/>
      </w:tblGrid>
      <w:tr>
        <w:trPr/>
        <w:tc>
          <w:tcPr>
            <w:tcW w:w="57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Xie Fang</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Xie Fang,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499" w:type="dxa"/>
            <w:tcBorders/>
            <w:vAlign w:val="center"/>
          </w:tcPr>
          <w:p>
            <w:pPr>
              <w:pStyle w:val="TableContents"/>
              <w:bidi w:val="0"/>
              <w:spacing w:before="0" w:after="283"/>
              <w:jc w:val="left"/>
              <w:rPr>
                <w:sz w:val="4"/>
                <w:szCs w:val="4"/>
              </w:rPr>
            </w:pPr>
            <w:r>
              <w:rPr>
                <w:sz w:val="4"/>
                <w:szCs w:val="4"/>
              </w:rPr>
            </w:r>
          </w:p>
        </w:tc>
      </w:tr>
    </w:tbl>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283"/>
              <w:jc w:val="center"/>
              <w:rPr>
                <w:b/>
              </w:rPr>
            </w:pPr>
            <w:r>
              <w:rPr>
                <w:b/>
              </w:rPr>
              <w:t xml:space="preserve">Exhibit Information </w:t>
            </w:r>
          </w:p>
        </w:tc>
      </w:tr>
      <w:tr>
        <w:trPr/>
        <w:tc>
          <w:tcPr>
            <w:tcW w:w="2821" w:type="dxa"/>
            <w:tcBorders/>
            <w:vAlign w:val="center"/>
          </w:tcPr>
          <w:p>
            <w:pPr>
              <w:pStyle w:val="TableContents"/>
              <w:bidi w:val="0"/>
              <w:spacing w:before="0" w:after="283"/>
              <w:jc w:val="left"/>
              <w:rPr/>
            </w:pPr>
            <w:r>
              <w:rPr/>
              <w:t>99.1 Joint Filing Agreement</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0" w:name="ea030028401ex99-1.htm"/>
      <w:bookmarkStart w:id="41" w:name="ksea030028401ex991"/>
      <w:bookmarkEnd w:id="40"/>
      <w:bookmarkEnd w:id="41"/>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under the Securities Exchange Act of 1934, as amended, each of the undersigned hereby agrees to the joint filing on behalf of each of them of a statement on Schedule 13G (including amendments thereto) with respect to the Class A ordinary shares no par value of eToro Group Limited. Each of the undersigned acknowledges that each shall be responsible for the timely filing of any statement (including amendments) on Schedule 13G, and for the completeness and accuracy of the information concerning him, her or it contained therein, but shall not be responsible for the completeness and accuracy of the information concerning the other persons making such filings, except to the extent that he, she or it knows or has reason to believe that such information is inaccurate.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hereby execute this Joint Filing Agreement on the dates set forth below.</w:t>
      </w:r>
    </w:p>
    <w:p>
      <w:pPr>
        <w:pStyle w:val="TextBody"/>
        <w:bidi w:val="0"/>
        <w:spacing w:before="0" w:after="0"/>
        <w:ind w:left="0" w:right="0" w:firstLine="720"/>
        <w:jc w:val="both"/>
        <w:rPr>
          <w:caps w:val="false"/>
          <w:smallCaps w:val="false"/>
        </w:rPr>
      </w:pPr>
      <w:r>
        <w:rPr>
          <w:caps w:val="false"/>
          <w:smallCaps w:val="false"/>
        </w:rPr>
        <w:t> </w:t>
      </w:r>
    </w:p>
    <w:tbl>
      <w:tblPr>
        <w:tblW w:w="6429" w:type="dxa"/>
        <w:jc w:val="left"/>
        <w:tblInd w:w="0" w:type="dxa"/>
        <w:tblLayout w:type="fixed"/>
        <w:tblCellMar>
          <w:top w:w="0" w:type="dxa"/>
          <w:left w:w="0" w:type="dxa"/>
          <w:bottom w:w="0" w:type="dxa"/>
          <w:right w:w="0" w:type="dxa"/>
        </w:tblCellMar>
      </w:tblPr>
      <w:tblGrid>
        <w:gridCol w:w="1963"/>
        <w:gridCol w:w="2646"/>
        <w:gridCol w:w="60"/>
        <w:gridCol w:w="1760"/>
      </w:tblGrid>
      <w:tr>
        <w:trPr/>
        <w:tc>
          <w:tcPr>
            <w:tcW w:w="46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 Vered Financial Holding Corporation Limited</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4, 2026</w:t>
            </w:r>
          </w:p>
        </w:tc>
      </w:tr>
      <w:tr>
        <w:trPr/>
        <w:tc>
          <w:tcPr>
            <w:tcW w:w="460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4609"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Xie Fang</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1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Xie Fang</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1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460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46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 Vered Financial Investment Management Limited</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4, 2026</w:t>
            </w:r>
          </w:p>
        </w:tc>
      </w:tr>
      <w:tr>
        <w:trPr/>
        <w:tc>
          <w:tcPr>
            <w:tcW w:w="460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4609"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Xie Fang</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1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Xie Fang</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1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460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46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 Vered Capital (Cayman) Limited</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4, 2026</w:t>
            </w:r>
          </w:p>
        </w:tc>
      </w:tr>
      <w:tr>
        <w:trPr/>
        <w:tc>
          <w:tcPr>
            <w:tcW w:w="460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4609"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Xie Fang</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1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Xie Fang</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1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1963" w:type="dxa"/>
            <w:tcBorders/>
            <w:vAlign w:val="center"/>
          </w:tcPr>
          <w:p>
            <w:pPr>
              <w:pStyle w:val="TableContents"/>
              <w:bidi w:val="0"/>
              <w:spacing w:before="0" w:after="283"/>
              <w:jc w:val="left"/>
              <w:rPr/>
            </w:pPr>
            <w:r>
              <w:rPr/>
              <w:t> </w:t>
            </w:r>
          </w:p>
        </w:tc>
        <w:tc>
          <w:tcPr>
            <w:tcW w:w="26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46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CM SPC acting on behalf of CM Equities SP</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4, 2026</w:t>
            </w:r>
          </w:p>
        </w:tc>
      </w:tr>
      <w:tr>
        <w:trPr/>
        <w:tc>
          <w:tcPr>
            <w:tcW w:w="460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4609"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Xie Fang</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1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Xie Fang</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19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989" w:type="dxa"/>
        <w:jc w:val="left"/>
        <w:tblInd w:w="0" w:type="dxa"/>
        <w:tblLayout w:type="fixed"/>
        <w:tblCellMar>
          <w:top w:w="0" w:type="dxa"/>
          <w:left w:w="0" w:type="dxa"/>
          <w:bottom w:w="0" w:type="dxa"/>
          <w:right w:w="0" w:type="dxa"/>
        </w:tblCellMar>
      </w:tblPr>
      <w:tblGrid>
        <w:gridCol w:w="980"/>
        <w:gridCol w:w="2189"/>
        <w:gridCol w:w="60"/>
        <w:gridCol w:w="1760"/>
      </w:tblGrid>
      <w:tr>
        <w:trPr/>
        <w:tc>
          <w:tcPr>
            <w:tcW w:w="31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CM Strategic Capital Holding Limited</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4, 2026</w:t>
            </w:r>
          </w:p>
        </w:tc>
      </w:tr>
      <w:tr>
        <w:trPr/>
        <w:tc>
          <w:tcPr>
            <w:tcW w:w="31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3169"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Lau Hoi Leung</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 Hoi Leung</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399" w:type="dxa"/>
        <w:jc w:val="left"/>
        <w:tblInd w:w="0" w:type="dxa"/>
        <w:tblLayout w:type="fixed"/>
        <w:tblCellMar>
          <w:top w:w="0" w:type="dxa"/>
          <w:left w:w="0" w:type="dxa"/>
          <w:bottom w:w="0" w:type="dxa"/>
          <w:right w:w="0" w:type="dxa"/>
        </w:tblCellMar>
      </w:tblPr>
      <w:tblGrid>
        <w:gridCol w:w="1417"/>
        <w:gridCol w:w="3162"/>
        <w:gridCol w:w="60"/>
        <w:gridCol w:w="1760"/>
      </w:tblGrid>
      <w:tr>
        <w:trPr/>
        <w:tc>
          <w:tcPr>
            <w:tcW w:w="45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CM Strategic Investment Management Holding Limited</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4, 2026</w:t>
            </w:r>
          </w:p>
        </w:tc>
      </w:tr>
      <w:tr>
        <w:trPr/>
        <w:tc>
          <w:tcPr>
            <w:tcW w:w="457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4579"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/s/Lau Hoi Leung</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14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 Hoi Leung</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14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194" w:type="dxa"/>
        <w:jc w:val="left"/>
        <w:tblInd w:w="0" w:type="dxa"/>
        <w:tblLayout w:type="fixed"/>
        <w:tblCellMar>
          <w:top w:w="0" w:type="dxa"/>
          <w:left w:w="0" w:type="dxa"/>
          <w:bottom w:w="0" w:type="dxa"/>
          <w:right w:w="0" w:type="dxa"/>
        </w:tblCellMar>
      </w:tblPr>
      <w:tblGrid>
        <w:gridCol w:w="722"/>
        <w:gridCol w:w="1652"/>
        <w:gridCol w:w="60"/>
        <w:gridCol w:w="1760"/>
      </w:tblGrid>
      <w:tr>
        <w:trPr/>
        <w:tc>
          <w:tcPr>
            <w:tcW w:w="23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Mighty Commander Limited</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4, 2026</w:t>
            </w:r>
          </w:p>
        </w:tc>
      </w:tr>
      <w:tr>
        <w:trPr/>
        <w:tc>
          <w:tcPr>
            <w:tcW w:w="23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2374"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Huang Yinying</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Huang Yinying</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r>
        <w:trPr/>
        <w:tc>
          <w:tcPr>
            <w:tcW w:w="7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2779</Words>
  <Characters>14046</Characters>
  <CharactersWithSpaces>16731</CharactersWithSpaces>
  <Paragraphs>584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