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Eddy Shalev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ARLOZOROV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TEL AVIV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6248906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eToro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6"/>
        <w:gridCol w:w="914"/>
        <w:gridCol w:w="783"/>
        <w:gridCol w:w="607"/>
        <w:gridCol w:w="346"/>
        <w:gridCol w:w="923"/>
        <w:gridCol w:w="440"/>
        <w:gridCol w:w="982"/>
        <w:gridCol w:w="1144"/>
        <w:gridCol w:w="986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99,100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31.1945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197,679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Levera S.A.</w:t>
            </w:r>
          </w:p>
        </w:tc>
      </w:tr>
      <w:tr>
        <w:trPr/>
        <w:tc>
          <w:tcPr>
            <w:tcW w:w="21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196,779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Levera S.A.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price. These shares were sold in multiple transactions ranging from $30.87 to $31.87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shares were sold in multiple transactions ranging from $31.905 to $31.94 . The reporting person undertakes to provide full information regarding the number of shares sold at each separate price upon request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5126" TargetMode="External"/><Relationship Id="rId5" Type="http://schemas.openxmlformats.org/officeDocument/2006/relationships/hyperlink" Target="http://www.sec.gov/cgi-bin/browse-edgar?action=getcompany&amp;CIK=0001493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3613</Characters>
  <CharactersWithSpaces>4205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