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August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001-42647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 Sheshet Hayamim St.,</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Bnei Brak, Israel 5120261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August 12, 2025, eToro Group Ltd. (the “Company”) issued a press release titled “eToro Reports Second Quarter 2025 Results.” A copy of the press release is furnished as Exhibit 99.1 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balance sheet, unaudited condensed consolidated statements of profit or loss and other comprehensive income, unaudited condensed consolidated statements of cash flows and unaudited reconciliation of non-GAAP metrics contained in the press release attached as Exhibit 99.1 to this report on Form 6-K are hereby incorporated by reference into the Company’s registration statement on </w:t>
      </w:r>
      <w:hyperlink r:id="rId1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333-287430) (including any prospectuses forming a part of such registration statement), to be a part thereof from the date on which this report is submitted, to the extent not superseded by documents or reports subsequently filed or furnished. Except for the foregoing information, the other information contained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5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August 12, 2025, titled “eToro Reports Second Quarter 2025 Results”</w:t>
            </w:r>
          </w:p>
        </w:tc>
      </w:tr>
      <w:tr>
        <w:trPr>
          <w:trHeight w:val="709"/>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500" w:type="dxa"/>
            <w:vAlign w:val="bottom"/>
            <w:tcBorders>
              <w:top w:val="single" w:sz="8" w:color="0000EE"/>
              <w:bottom w:val="single" w:sz="8" w:color="auto"/>
            </w:tcBorders>
          </w:tcPr>
          <w:p>
            <w:pPr>
              <w:jc w:val="right"/>
              <w:ind w:right="1866"/>
              <w:spacing w:after="0"/>
              <w:rPr>
                <w:sz w:val="20"/>
                <w:szCs w:val="20"/>
                <w:color w:val="auto"/>
              </w:rPr>
            </w:pPr>
            <w:r>
              <w:rPr>
                <w:rFonts w:ascii="Times New Roman" w:cs="Times New Roman" w:eastAsia="Times New Roman" w:hAnsi="Times New Roman"/>
                <w:sz w:val="22"/>
                <w:szCs w:val="22"/>
                <w:color w:val="auto"/>
              </w:rPr>
              <w:t>2</w:t>
            </w:r>
          </w:p>
        </w:tc>
        <w:tc>
          <w:tcPr>
            <w:tcW w:w="3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August 12, 2025</w:t>
      </w:r>
      <w:r>
        <w:rPr>
          <w:sz w:val="20"/>
          <w:szCs w:val="20"/>
          <w:color w:val="auto"/>
        </w:rPr>
        <w:tab/>
      </w:r>
      <w:r>
        <w:rPr>
          <w:rFonts w:ascii="Times New Roman" w:cs="Times New Roman" w:eastAsia="Times New Roman" w:hAnsi="Times New Roman"/>
          <w:sz w:val="18"/>
          <w:szCs w:val="18"/>
          <w:color w:val="auto"/>
        </w:rPr>
        <w:t>By:</w:t>
        <w:tab/>
        <w:t>/s/ Jonathan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17145</wp:posOffset>
            </wp:positionV>
            <wp:extent cx="17913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Jonathan Alexander Assia</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REPORTS SECOND QUARTER 2025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Contribution grew by 26% year-over-year to $210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Assets Under Administration grew by 54% year-over-year to $17.5 billion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Funded accounts grew by 14% year-over-year to 3.63 million</w:t>
      </w:r>
    </w:p>
    <w:p>
      <w:pPr>
        <w:spacing w:after="0" w:line="2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 August 12th, 2025 - </w:t>
      </w:r>
      <w:r>
        <w:rPr>
          <w:rFonts w:ascii="Times New Roman" w:cs="Times New Roman" w:eastAsia="Times New Roman" w:hAnsi="Times New Roman"/>
          <w:sz w:val="18"/>
          <w:szCs w:val="18"/>
          <w:color w:val="auto"/>
        </w:rPr>
        <w:t>eToro Group Ltd. (“eToro”, or the “Company”) (NASDAQ: ETOR), the trading and investing platform,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second quarter ended June 30, 2025.</w:t>
      </w:r>
    </w:p>
    <w:p>
      <w:pPr>
        <w:spacing w:after="0" w:line="1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 am proud of the eToro team for delivering another strong quarter, while meaningfully expanding our product innovation and geographical footprint. In the second quarter, we offered 24/5 trading for U.S. equities, introduced new long-term portfolios in partnership with Franklin Templeton, and launched savings products in France, all while strengthening our footprint in Asia through our new Singapore hub. These advancements reflect our commitment to making investing simpler and more accessible for our global community. Looking ahead, we are excited to continue developing technologies like tokenization and AI tools that we believe will transform how retail investors interact with the markets and create new opportunities for growth. As we continue to execute on our strategy, we remain confident in our ability to drive sustainable value for our users and shareholders,” </w:t>
      </w:r>
      <w:r>
        <w:rPr>
          <w:rFonts w:ascii="Times New Roman" w:cs="Times New Roman" w:eastAsia="Times New Roman" w:hAnsi="Times New Roman"/>
          <w:sz w:val="18"/>
          <w:szCs w:val="18"/>
          <w:color w:val="auto"/>
        </w:rPr>
        <w:t>commented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Yoni Assia,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CEO and Co-founder of eToro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 are very pleased with our 2025 second quarter results, the first as a public company. Net contribution grew 26% year over year and adjusted EBITDA grew 31% year over year reflecting our focus on profitable revenue growth,”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Meron Shani, eToro CFO</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and Product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660" w:right="16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increased by 26% year over year to $210 million, compared to $167 million in the second quarter of 2024, driven primarily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trading activity.</w:t>
      </w:r>
    </w:p>
    <w:p>
      <w:pPr>
        <w:spacing w:after="0" w:line="181" w:lineRule="exact"/>
        <w:rPr>
          <w:rFonts w:ascii="Times New Roman" w:cs="Times New Roman" w:eastAsia="Times New Roman" w:hAnsi="Times New Roman"/>
          <w:sz w:val="18"/>
          <w:szCs w:val="18"/>
          <w:color w:val="auto"/>
        </w:rPr>
      </w:pPr>
    </w:p>
    <w:p>
      <w:pPr>
        <w:ind w:left="660" w:right="42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(GAAP) </w:t>
      </w:r>
      <w:r>
        <w:rPr>
          <w:rFonts w:ascii="Times New Roman" w:cs="Times New Roman" w:eastAsia="Times New Roman" w:hAnsi="Times New Roman"/>
          <w:sz w:val="18"/>
          <w:szCs w:val="18"/>
          <w:color w:val="auto"/>
        </w:rPr>
        <w:t>was $30.2 million, compared to $30.6 million in the second quarter of 2024, and included $15 million of IPO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costs.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was $54.2 million, compared to $44.2 million in the second quarter of 2024.</w:t>
      </w:r>
    </w:p>
    <w:p>
      <w:pPr>
        <w:spacing w:after="0" w:line="252"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increased by 31% year over year to $72 million, compared to $55 million in the second quarter of 2024, largely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increased revenue and disciplined cost management.</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Diluted EPS (non-GAAP) </w:t>
      </w:r>
      <w:r>
        <w:rPr>
          <w:rFonts w:ascii="Times New Roman" w:cs="Times New Roman" w:eastAsia="Times New Roman" w:hAnsi="Times New Roman"/>
          <w:sz w:val="18"/>
          <w:szCs w:val="18"/>
          <w:color w:val="auto"/>
        </w:rPr>
        <w:t>was $0.56, compared to $0.51 in the second quarter of 2024.</w:t>
      </w:r>
    </w:p>
    <w:p>
      <w:pPr>
        <w:spacing w:after="0" w:line="252"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increased 14% year over year to 3.63 million compared to 3.17 million in the second quarter of 2024. This was driven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ongoing user acquisition and retention efforts, as well as the acquisition of Australian investing app Spaceship in 2024.</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w:t>
      </w:r>
      <w:r>
        <w:rPr>
          <w:rFonts w:ascii="Times New Roman" w:cs="Times New Roman" w:eastAsia="Times New Roman" w:hAnsi="Times New Roman"/>
          <w:sz w:val="18"/>
          <w:szCs w:val="18"/>
          <w:color w:val="auto"/>
        </w:rPr>
        <w:t>grew by 54% year over year to $17.5 billion, compared to $11.3 billion in the second quarter of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short term investments </w:t>
      </w:r>
      <w:r>
        <w:rPr>
          <w:rFonts w:ascii="Times New Roman" w:cs="Times New Roman" w:eastAsia="Times New Roman" w:hAnsi="Times New Roman"/>
          <w:sz w:val="18"/>
          <w:szCs w:val="18"/>
          <w:color w:val="auto"/>
        </w:rPr>
        <w:t>were $1.2 billion as of June 30, 2025.</w:t>
      </w:r>
    </w:p>
    <w:p>
      <w:pPr>
        <w:spacing w:after="0" w:line="252"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Launched key products </w:t>
      </w:r>
      <w:r>
        <w:rPr>
          <w:rFonts w:ascii="Times New Roman" w:cs="Times New Roman" w:eastAsia="Times New Roman" w:hAnsi="Times New Roman"/>
          <w:sz w:val="18"/>
          <w:szCs w:val="18"/>
          <w:color w:val="auto"/>
        </w:rPr>
        <w:t>in AI, tokenization, savings and eToro money across our four pillars of Trading, Investing, Wealth Management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Neo-banking.</w:t>
      </w:r>
    </w:p>
    <w:p>
      <w:pPr>
        <w:spacing w:after="0" w:line="199" w:lineRule="exact"/>
        <w:rPr>
          <w:rFonts w:ascii="Times New Roman" w:cs="Times New Roman" w:eastAsia="Times New Roman" w:hAnsi="Times New Roman"/>
          <w:sz w:val="18"/>
          <w:szCs w:val="18"/>
          <w:color w:val="auto"/>
        </w:rPr>
      </w:pPr>
    </w:p>
    <w:p>
      <w:pPr>
        <w:ind w:left="340" w:hanging="324"/>
        <w:spacing w:after="0" w:line="1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“Non-GAAP Financial Metrics and Key Performance Indicators” below for additional information and a reconciliation to GAAP for all Non-GAAP financial metrics. Adjusted EBITDA margin is based on net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eToro continued to focus on sustainable, profitable growth in the second quarter, launching products and services to support users at every stage of their investing journey.</w:t>
      </w:r>
    </w:p>
    <w:p>
      <w:pPr>
        <w:spacing w:after="0" w:line="158" w:lineRule="exact"/>
        <w:rPr>
          <w:sz w:val="20"/>
          <w:szCs w:val="20"/>
          <w:color w:val="auto"/>
        </w:rPr>
      </w:pPr>
    </w:p>
    <w:p>
      <w:pPr>
        <w:ind w:left="660" w:right="4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w:t>
      </w:r>
      <w:r>
        <w:rPr>
          <w:rFonts w:ascii="Times New Roman" w:cs="Times New Roman" w:eastAsia="Times New Roman" w:hAnsi="Times New Roman"/>
          <w:sz w:val="18"/>
          <w:szCs w:val="18"/>
          <w:color w:val="auto"/>
        </w:rPr>
        <w:t>eToro strengthened its trading offering with the launch of 24/5 trading for 100 U.S. equities, enabling users to trade around the clock.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expanded its U.S. crypto offering to over 100 assets, aligning with its global coverage of over 130. In addition, eToro announced its tokenization strategy and is launching tokenized US listed stocks, laying the groundwork for tokenized stocks with future transfer capabilities. Futures and spot-quoted futures were also made accessible to more investors, providing new opportunities for diversification.</w:t>
      </w:r>
    </w:p>
    <w:p>
      <w:pPr>
        <w:spacing w:after="0" w:line="176" w:lineRule="exact"/>
        <w:rPr>
          <w:rFonts w:ascii="Times New Roman" w:cs="Times New Roman" w:eastAsia="Times New Roman" w:hAnsi="Times New Roman"/>
          <w:sz w:val="18"/>
          <w:szCs w:val="18"/>
          <w:color w:val="auto"/>
        </w:rPr>
      </w:pPr>
    </w:p>
    <w:p>
      <w:pPr>
        <w:ind w:left="66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Investing: </w:t>
      </w:r>
      <w:r>
        <w:rPr>
          <w:rFonts w:ascii="Times New Roman" w:cs="Times New Roman" w:eastAsia="Times New Roman" w:hAnsi="Times New Roman"/>
          <w:sz w:val="18"/>
          <w:szCs w:val="18"/>
          <w:color w:val="auto"/>
        </w:rPr>
        <w:t>eToro rolled out a suite of Alpha Portfolios as part of its Smart Portfolio offering. These AI-powered strategies are built using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of multiple sources of data including eToro’s proprietary retail trading data. In addition, eToro announced a partnership with Franklin Templeton to launch new portfolios offering target date investment strategies. AI innovation continues to play a key role at the Company, highlighted by the introduction of Tori, an AI-powered analyst built on the latest LLM models, which delivers personalized insights, platform guidance, and educational support. The Company has also launched a suite of AI-powered tools and APIs to enable advanced strategy building and customization.</w:t>
      </w:r>
    </w:p>
    <w:p>
      <w:pPr>
        <w:spacing w:after="0" w:line="182" w:lineRule="exact"/>
        <w:rPr>
          <w:rFonts w:ascii="Times New Roman" w:cs="Times New Roman" w:eastAsia="Times New Roman" w:hAnsi="Times New Roman"/>
          <w:sz w:val="18"/>
          <w:szCs w:val="18"/>
          <w:color w:val="auto"/>
        </w:rPr>
      </w:pPr>
    </w:p>
    <w:p>
      <w:pPr>
        <w:ind w:left="660" w:right="18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w:t>
      </w:r>
      <w:r>
        <w:rPr>
          <w:rFonts w:ascii="Times New Roman" w:cs="Times New Roman" w:eastAsia="Times New Roman" w:hAnsi="Times New Roman"/>
          <w:sz w:val="18"/>
          <w:szCs w:val="18"/>
          <w:color w:val="auto"/>
        </w:rPr>
        <w:t>As part of its long-term investment strategy, eToro continued to enhance its wealth solutions, launching French savings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including retirement (PER) and life insurance, giving users access to long-term, tax-advantaged investing directly on the platform. The Company expanded recurring investments beyond the U.K. and E.U. to the U.A.E., enabling more users to automate contributions into stocks, ETFs, and crypto.</w:t>
      </w:r>
    </w:p>
    <w:p>
      <w:pPr>
        <w:spacing w:after="0" w:line="176" w:lineRule="exact"/>
        <w:rPr>
          <w:rFonts w:ascii="Times New Roman" w:cs="Times New Roman" w:eastAsia="Times New Roman" w:hAnsi="Times New Roman"/>
          <w:sz w:val="18"/>
          <w:szCs w:val="18"/>
          <w:color w:val="auto"/>
        </w:rPr>
      </w:pPr>
    </w:p>
    <w:p>
      <w:pPr>
        <w:ind w:left="660" w:right="18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Neo-banking: </w:t>
      </w:r>
      <w:r>
        <w:rPr>
          <w:rFonts w:ascii="Times New Roman" w:cs="Times New Roman" w:eastAsia="Times New Roman" w:hAnsi="Times New Roman"/>
          <w:sz w:val="18"/>
          <w:szCs w:val="18"/>
          <w:color w:val="auto"/>
        </w:rPr>
        <w:t>The Europe-wide rollout of the eToro Money card turned everyday spending into portfolio-building with 4% stock-back rewards,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travel benefits, and 0% FX fees. The card complements eToro’s local IBAN offering, allowing seamless management of spending, deposits, and investments across the platform.</w:t>
      </w:r>
    </w:p>
    <w:p>
      <w:pPr>
        <w:spacing w:after="0" w:line="170"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expansion: </w:t>
      </w:r>
      <w:r>
        <w:rPr>
          <w:rFonts w:ascii="Times New Roman" w:cs="Times New Roman" w:eastAsia="Times New Roman" w:hAnsi="Times New Roman"/>
          <w:sz w:val="18"/>
          <w:szCs w:val="18"/>
          <w:color w:val="auto"/>
        </w:rPr>
        <w:t>eToro activated its Capital Markets Services license from the Monetary Authority of Singapore (MAS). This reinforces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eToro’s presence in the Asia-Pacific region, establishing Singapore as its Asian headquarters, supported by local talent, strategic partnerships, and contributions to Singapore’s fintech ecosystem.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Livestream Information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eToro will host a video call to discuss its results at 5:30 a.m PT / 8:30 a.m ET today, August 12, 2025. The video call can be accessed at investors.etoro.com, along with this earnings press release and accompanying slide presentation. The event will also be live streamed to eToro’s YouTube and X.com official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 pr@etoro.com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investors@etoro.com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eToro</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eToro is the trading and investing platform that empowers you to invest, share and learn. We were founded in 2007 with the vision of a world where everyone can trade and invest in a simple and transparent way. Today we have 40 million registered users from 75 countries. We believe there is power in shared knowledge and that we can become more successful by investing together. So we’ve created a collaborative investment community designed to provide you with the tools you need to grow your knowledge and wealth. On eToro, you can hold a range of traditional and innovative assets and choose how you invest: trade directly, invest in a portfolio, or copy other investors. You can visit our media center here for our latest news.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gridSpan w:val="2"/>
          </w:tcPr>
          <w:p>
            <w:pPr>
              <w:spacing w:after="0"/>
              <w:rPr>
                <w:sz w:val="19"/>
                <w:szCs w:val="19"/>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987,860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575,395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271,179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224,867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102,074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omnibus accounts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50,466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prepaid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62,518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46,005</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1,634,008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1,075,326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11,630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41,885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45,053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46,346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8,647</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1,749,874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1,191,362</w:t>
            </w:r>
          </w:p>
        </w:tc>
        <w:tc>
          <w:tcPr>
            <w:tcW w:w="80" w:type="dxa"/>
            <w:vAlign w:val="bottom"/>
            <w:shd w:val="clear" w:color="auto" w:fill="CCEEFF"/>
          </w:tcPr>
          <w:p>
            <w:pPr>
              <w:spacing w:after="0"/>
              <w:rPr>
                <w:sz w:val="22"/>
                <w:szCs w:val="22"/>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145,458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103,493</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212,223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193,115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366,937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305,567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liabilities,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43,546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2,968</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53,420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the company: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 premium</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1,260,068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474,469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 premium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397,019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Advanced Investment Agreement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9,091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capital reserve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42,690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(47,447)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1,318,681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832,375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1,749,874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1,191,362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PROFIT OR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54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and income: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from equities, commodities and currencies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114,042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cryptoassets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1,914,792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1,640,154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5,415,592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4,933,274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(loss) from cryptoassets derivatives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68,644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from users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43,874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conversion and other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39,098</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7,287</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and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2,094,235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1,848,850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5,849,616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5,232,370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from cryptoassets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1,877,089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1,672,726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5,405,942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4,846,492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interest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52,578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77,205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operating costs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76,270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111,664</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2,058,616</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1,812,610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5,743,456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5,122,504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35,619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109,866</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15,169</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30,185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30,587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90,137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94,697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reclassified subsequently to profit or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year, net of tax</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30"/>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37,378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95,101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94,697</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of common shares used to compute net income per</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 attributable to common shareholders: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80,274,455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75,117,027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78,007,877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75,093,651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97,003,106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86,644,652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94,595,653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86,760,659</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720" w:type="dxa"/>
            <w:vAlign w:val="bottom"/>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54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gridSpan w:val="2"/>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30,185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30,587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90,137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94,697</w:t>
            </w:r>
          </w:p>
        </w:tc>
      </w:tr>
      <w:tr>
        <w:trPr>
          <w:trHeight w:val="167"/>
        </w:trPr>
        <w:tc>
          <w:tcPr>
            <w:tcW w:w="59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profit or loss items: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2,988</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3,545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9,045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7,832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Evaluation of liabilities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7,483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9,314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fair value of cryptoassets and counterparties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(29,795)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8,476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22,035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revenue from staking and blockchain rewards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(8,031)</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(2,709)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(16,754)</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costs from staking and blockchain rewards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5,672</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11,519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6,309</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5,434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5,653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16,023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15,169</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(6,395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25,239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61,760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43,724</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 and liability items: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of counterparties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(7,767)</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37,294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(76,002)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(30,006)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of cryptoassets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4,171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8,957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17,325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of other receivables and prepaid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(582)</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10,542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(7,611)</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of restricted cash</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259</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accounts payable</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(10,433)</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(13,064)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(11,103)</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of user and omnibus accounts,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24,704</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(9,135)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73,605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of accrued expenses and other payables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21,770</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(12,051)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of employee benefit liabilities,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32,188</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21,917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(1,597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(5,960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 (paid), net during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gridSpan w:val="2"/>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 paid, net during the period</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(2,159)</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(7,716)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(7,519)</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60,946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122,834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of short-term investments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(124,000)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long-term investments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(759)</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(1,281)</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(1,726)</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(125,595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(137,174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(1,974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3,153</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liability</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(1,071)</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(2,218)</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(1,973)</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common share upon initial public offering, net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discounts, commissions and other issuance costs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378,818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378,818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380,900</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380,033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differences on balances of cash and cash equivalents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11,549</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18,928</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(4,028)</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327,800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70,326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412,465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115,220</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660,060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433,228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575,395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388,334</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987,860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503,554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987,860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503,554</w:t>
            </w:r>
          </w:p>
        </w:tc>
        <w:tc>
          <w:tcPr>
            <w:tcW w:w="80" w:type="dxa"/>
            <w:vAlign w:val="bottom"/>
          </w:tcPr>
          <w:p>
            <w:pPr>
              <w:spacing w:after="0"/>
              <w:rPr>
                <w:sz w:val="22"/>
                <w:szCs w:val="22"/>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Non-GAAP Financial Metrics and Key Performance Indicators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and the accompanying tables contain financial measures that are not calculated in accordance with International Financial Reporting Standards nor with Generally Accepted Accounting Principles (collectively “GAAP”) metrics, including Adjusted EBITDA, Net Contribution and Adjusted Diluted EPS. The inclusion of the non-GAAP financial information is not intended to be considered in isolation or as a substitute for the financial information prepared and presented in accordance with GAAP. eToro believes these non-GAAP financial measures provide important supplemental information to management regarding financial and business trends used in assessing its results of operations. eToro believes excluding specified items provides a more meaningful comparison to the corresponding reporting periods and internal budgets and forecasts, assists investors in performing analysis that is consistent with financial models developed by investors and research analysts, provides management with a more relevant measure of operating performance and is more useful in assessing management performance.</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eToro urges its investors to review the reconciliations of Adjusted EBITDA to its most directly comparable GAAP financial measure set forth herein, and not to rely on any single financial measure to evaluate its business.</w:t>
      </w:r>
    </w:p>
    <w:p>
      <w:pPr>
        <w:spacing w:after="0" w:line="16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press release includes key performance indicators that eToro’s management uses to help evaluate the business, measure its performance, identify trends, prepare financial projections and make business decisions. eToro’s key performance indicators include Funded Accounts, Assets Under Administration and Net Contribution. Definitions of performance indicators can be found in this press release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30,185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94,697</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Finance expense, net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6,309</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5,792</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 payment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17,936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2,988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8,379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71,947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54,799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152,141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141,676</w:t>
            </w:r>
          </w:p>
        </w:tc>
        <w:tc>
          <w:tcPr>
            <w:tcW w:w="80" w:type="dxa"/>
            <w:vAlign w:val="bottom"/>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54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30,185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94,697</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Share-base payment expense</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3,545</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9,045</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17,936</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intangible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 (5 years)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8,379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before tax</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58,529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net income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54,205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44,231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120,993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117,653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80,274,455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75,117,027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78,007,877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75,093,651</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97,003,106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86,644,652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94,595,653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86,760,659</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Non - GAAP EPS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Non - GAAP EPS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GAAP EPS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GAAP EPS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Definitions of Certain Metrics</w:t>
            </w: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is a non-GAAP financial metric that we define as net income adjusted to exclude finance and other expenses,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on income, share-based payment expense, depreciation and amortization, employee non-cash expense, one-time transaction costs and other expense</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Diluted Earnings Per Share (Adjusted diluted EPS): </w:t>
      </w:r>
      <w:r>
        <w:rPr>
          <w:rFonts w:ascii="Times New Roman" w:cs="Times New Roman" w:eastAsia="Times New Roman" w:hAnsi="Times New Roman"/>
          <w:sz w:val="18"/>
          <w:szCs w:val="18"/>
          <w:color w:val="auto"/>
        </w:rPr>
        <w:t>Adjusted diluted EPS is a non-GAAP financial metric and is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Net Income attributable to common shareholders by the diluted shares outstanding during the period. Adjusted diluted EPS excludes the impact of the same non-recurring or non-operational items to provide investors with a normalized measure of profitability on a per-share basis.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Adjusted Net Income refers to a company’s net income after making adjustments for non-recurring, one-time, or non-cash items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restructuring charges, asset impairments, acquisition-related expenses, or gains/losses from discontinued operations.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AUA reflects the aggregate fair value of assets held by users within the platform, including those held by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for execution or custody services, categorized as follows:</w:t>
      </w:r>
    </w:p>
    <w:p>
      <w:pPr>
        <w:spacing w:after="0" w:line="15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Includes all cryptocurrencies and users’ crypto assets held in eToro digital wallets.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Equities: Includes stocks, ETFs, and assets managed under the Spaceship program.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right="1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Includes customers’ uninvested cash (e.g., cash balances, eMoney balances, in-process cashouts), as well as cash used for margin or posted as collateral for leveraged positions.</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Funded Accounts are users who have completed KYC, AML and other onboarding processes, activated their account, deposited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at least one trade at any time and have a positive account balance (invested or uninvested). Funded Accounts represent the deepest level of our user acquisition funnel and are the users from whom we generate total commission.</w:t>
      </w:r>
    </w:p>
    <w:p>
      <w:pPr>
        <w:spacing w:after="0" w:line="1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Net Contribution reflects Total revenue and income, less the Cost of revenue from cryptoassets and Margin interest expense. We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Contribution to evaluate the net contributions of our users’ activity on our platform before considering the overhead costs associated with our operations.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Contribution consists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(Equities, Commodities and Currencies) is equal to our Net trading income from equities, commodities and currencies.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(Cryptoassets) is equal to Revenue from cryptoassets plus Net trading income (loss) from cryptoasset derivatives less Cost of revenue from cryptoassets, excluding the net contributions from blockchain rewards and staking activity.</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Contribution represents Net interest contribution from users plus Other interest income plus the net contributions of staking activity, less Margin interest expense.</w:t>
      </w:r>
    </w:p>
    <w:p>
      <w:pPr>
        <w:spacing w:after="0" w:line="188"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Money comprises the vast majority of our Currency conversion and other income. It represents the income earned from our money management services, including currency conversions, withdrawals, interchange on our debit card, transfers of cryptoassets, and fees relating to our cryptoasset wallet services.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and Other is the remainder of Currency conversion and other income not attributable to eToro Money plus the net contributions of blockchain rewards.</w:t>
      </w:r>
    </w:p>
    <w:p>
      <w:pPr>
        <w:spacing w:after="0" w:line="158"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Net Income: </w:t>
      </w:r>
      <w:r>
        <w:rPr>
          <w:rFonts w:ascii="Times New Roman" w:cs="Times New Roman" w:eastAsia="Times New Roman" w:hAnsi="Times New Roman"/>
          <w:sz w:val="17"/>
          <w:szCs w:val="17"/>
          <w:color w:val="auto"/>
        </w:rPr>
        <w:t>Net income represents the company’s total earnings or profit for a given period, calculated as total revenue minus all expenses,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costs, depreciation, interest, taxes, and other income or expenses. It reflects the company’s overall profitability according to GAAP standards.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regarding our financial outlook and market positioning. These forward-looking statements are made as of the date they were first issued and were based on current expectations, estimates, forecasts and projections as well as the beliefs and assumptions of management. Words such as “outlook,” “guidance,” “expect,” “anticipate,” “should,” “believe,” “hope,” “target,” “project,” “plan,” “goals,” “estimate,” “potential,” “predict,” “may,” “will,” “might,” “could,” “intend,” “shall” and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eToro’s control. eToro’s actual results could differ materially from those stated or implied in forward-looking statements due to a number of factors, including but not limited to market volatility and erratic market movements; failure to retain existing users or add new users; extreme competition; changes in the regulatory and legal framework under which we operate; regulatory inquiries and investigations; our estimates of our financial performance; interest rate fluctuations; the evolving cryptoasset market, including the regulations thereof; conditions related to our operations in Israel, including the ongoing war; risks related to data security and privacy and use of Open Source Software (“OSS”); risks related to artificial intelligence (“AI”); changes in general economic or political conditions; changes to accounting principles and guidelines; unexpected costs or expenses; and other factors described in “Risk Factors” in our prospectus, dated May 13, 2025, filed with the Securities and Exchange Commission (“SEC”), as such factors may be updated from time to time in eToro’s filings with the SEC, which are, or will be, accessible on the SEC’s website at www.sec.gov.</w:t>
      </w:r>
    </w:p>
    <w:p>
      <w:pPr>
        <w:spacing w:after="0" w:line="1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Past performance is not necessarily indicative of future results. The forward-looking statements included in this press release represent eToro’s views as of the date of this press release. eToro anticipates that subsequent events and developments will cause its views to change. eToro undertakes no intention or obligation to update or revise any forward-looking statements, whether as a result of new information, future events, or otherwise. These forward-looking statements should not be relied upon as representing eToro’s views as of any date subsequent to the date of this press release.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5" Type="http://schemas.openxmlformats.org/officeDocument/2006/relationships/hyperlink" Target="http://www.sec.gov/Archives/edgar/data/1493318/000121390025045960/ea0242347-s8_eto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2025-08-12T06:04:48Z</dcterms:created>
  <dcterms:modified xsi:type="dcterms:W3CDTF">2025-08-12T06:04:48Z</dcterms:modified>
</cp:coreProperties>
</file>