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xml:space="preserve">For the month of </w:t>
      </w:r>
      <w:r>
        <w:rPr>
          <w:rFonts w:ascii="Times New Roman" w:cs="Times New Roman" w:eastAsia="Times New Roman" w:hAnsi="Times New Roman"/>
          <w:sz w:val="18"/>
          <w:szCs w:val="18"/>
          <w:b w:val="1"/>
          <w:bCs w:val="1"/>
          <w:color w:val="auto"/>
        </w:rPr>
        <w:t>May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001-42647</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1"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30 Sheshet Hayamim St.,</w:t>
      </w:r>
    </w:p>
    <w:p>
      <w:pPr>
        <w:spacing w:after="0" w:line="31"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Bnei Brak, Israel 5120261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42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40"/>
        <w:spacing w:after="0" w:line="207" w:lineRule="exact"/>
        <w:tabs>
          <w:tab w:leader="none" w:pos="58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May 12, 2026, eToro Group Ltd. (the “Company”) issued a press release titled “eToro Reports First Quarter 2026 Results.” A copy of the press release is furnished as Exhibit 99.1 herewith.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unaudited condensed consolidated balance sheets, unaudited condensed consolidated statements of profit or loss and other comprehensive income (loss), unaudited condensed consolidated statements of cash flows and unaudited reconciliation of non-GAAP metrics contained in the press release attached as Exhibit 99.1 to this report on Form 6-K are hereby incorporated by reference into the Company’s registration statement on </w:t>
      </w:r>
      <w:hyperlink r:id="rId15">
        <w:r>
          <w:rPr>
            <w:rFonts w:ascii="Times New Roman" w:cs="Times New Roman" w:eastAsia="Times New Roman" w:hAnsi="Times New Roman"/>
            <w:sz w:val="18"/>
            <w:szCs w:val="18"/>
            <w:u w:val="single" w:color="auto"/>
            <w:color w:val="0000EE"/>
          </w:rPr>
          <w:t>Form S-8</w:t>
        </w:r>
      </w:hyperlink>
      <w:r>
        <w:rPr>
          <w:rFonts w:ascii="Times New Roman" w:cs="Times New Roman" w:eastAsia="Times New Roman" w:hAnsi="Times New Roman"/>
          <w:sz w:val="18"/>
          <w:szCs w:val="18"/>
          <w:color w:val="auto"/>
        </w:rPr>
        <w:t xml:space="preserve"> (Registration No. 333-287430) (including any prospectuses forming a part of such registration statement), to be a part thereof from the date on which this report is submitted, to the extent not superseded by documents or reports subsequently filed or furnished. Except for the foregoing information, the other information contained in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10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May 12, 2026, titled “eToro Reports First Quarter 2026 Results”</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6100" w:type="dxa"/>
            <w:vAlign w:val="bottom"/>
            <w:tcBorders>
              <w:top w:val="single" w:sz="8" w:color="0000EE"/>
              <w:bottom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color w:val="auto"/>
              </w:rPr>
              <w:t>2</w:t>
            </w:r>
          </w:p>
        </w:tc>
        <w:tc>
          <w:tcPr>
            <w:tcW w:w="40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19685</wp:posOffset>
            </wp:positionV>
            <wp:extent cx="28371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2837180" cy="17145"/>
                    </a:xfrm>
                    <a:prstGeom prst="rect">
                      <a:avLst/>
                    </a:prstGeom>
                    <a:noFill/>
                  </pic:spPr>
                </pic:pic>
              </a:graphicData>
            </a:graphic>
          </wp:anchor>
        </w:drawing>
      </w:r>
    </w:p>
    <w:p>
      <w:pPr>
        <w:spacing w:after="0" w:line="20" w:lineRule="exact"/>
        <w:rPr>
          <w:sz w:val="20"/>
          <w:szCs w:val="20"/>
          <w:color w:val="auto"/>
        </w:rPr>
      </w:pPr>
    </w:p>
    <w:p>
      <w:pPr>
        <w:jc w:val="center"/>
        <w:ind w:left="6760"/>
        <w:spacing w:after="0"/>
        <w:rPr>
          <w:sz w:val="20"/>
          <w:szCs w:val="20"/>
          <w:color w:val="auto"/>
        </w:rPr>
      </w:pPr>
      <w:r>
        <w:rPr>
          <w:rFonts w:ascii="Times New Roman" w:cs="Times New Roman" w:eastAsia="Times New Roman" w:hAnsi="Times New Roman"/>
          <w:sz w:val="18"/>
          <w:szCs w:val="18"/>
          <w:color w:val="auto"/>
        </w:rPr>
        <w:t>(Registrant)</w:t>
      </w:r>
    </w:p>
    <w:p>
      <w:pPr>
        <w:spacing w:after="0" w:line="225" w:lineRule="exact"/>
        <w:rPr>
          <w:sz w:val="20"/>
          <w:szCs w:val="20"/>
          <w:color w:val="auto"/>
        </w:rPr>
      </w:pPr>
    </w:p>
    <w:p>
      <w:pPr>
        <w:spacing w:after="0"/>
        <w:tabs>
          <w:tab w:leader="none" w:pos="560" w:val="left"/>
          <w:tab w:leader="none" w:pos="6760" w:val="left"/>
          <w:tab w:leader="none" w:pos="7200" w:val="left"/>
        </w:tabs>
        <w:rPr>
          <w:sz w:val="20"/>
          <w:szCs w:val="20"/>
          <w:color w:val="auto"/>
        </w:rPr>
      </w:pPr>
      <w:r>
        <w:rPr>
          <w:rFonts w:ascii="Times New Roman" w:cs="Times New Roman" w:eastAsia="Times New Roman" w:hAnsi="Times New Roman"/>
          <w:sz w:val="18"/>
          <w:szCs w:val="18"/>
          <w:color w:val="auto"/>
        </w:rPr>
        <w:t>Date:</w:t>
        <w:tab/>
        <w:t>May 12,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Johnathan Alexander Assia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2554605" cy="1714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17145</wp:posOffset>
            </wp:positionV>
            <wp:extent cx="93408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93408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Johnathan Alexander Assia</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eToro Reports First Quarter 2026 Results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Net Contribution of $258 million, up 19% YoY</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Net Income of $82 Million, up 37% YoY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Adjusted EBITDA of $109 million, up 35% YoY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4.02 million funded accounts, up 12% YoY</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New York – May 12, 2026 – </w:t>
      </w:r>
      <w:r>
        <w:rPr>
          <w:rFonts w:ascii="Times New Roman" w:cs="Times New Roman" w:eastAsia="Times New Roman" w:hAnsi="Times New Roman"/>
          <w:sz w:val="18"/>
          <w:szCs w:val="18"/>
          <w:color w:val="auto"/>
        </w:rPr>
        <w:t>eToro Group Ltd. (“eToro”, or the “Company”) (NASDAQ: ETOR), the trading and investing platform, today announced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results for the first quarter ended March 31, 2026.</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“I’m incredibly proud of the eToro team for delivering our strongest quarterly financial results as a public company, while continuing to accelerate product innovation. In the first quarter, we introduced 24/7 trading for commodities, equities and indices, added Japanese equities, and launched crypto trading in New York. We also saw acceleration in product launches with many new apps within the eToro App Store, AI-powered Agent Portfolios, and an integration with xAI for Tori, our AI agent.</w:t>
      </w:r>
    </w:p>
    <w:p>
      <w:pPr>
        <w:spacing w:after="0" w:line="18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“The acquisition of Zengo, a leading self-custodial crypto wallet provider, meaningfully advances our strategy of bridging traditional finance with on-chain infrastructure, prediction markets, perpetuals and the broader crypto ecosystem.</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“Looking ahead, we continue to enhance our global product offering, deepen our investment in on-chain technologies, and grow our suite of AI-driven tools, which we believe will fundamentally reshape how retail investors engage with the markets and unlock new opportunities for growth,” </w:t>
      </w:r>
      <w:r>
        <w:rPr>
          <w:rFonts w:ascii="Times New Roman" w:cs="Times New Roman" w:eastAsia="Times New Roman" w:hAnsi="Times New Roman"/>
          <w:sz w:val="18"/>
          <w:szCs w:val="18"/>
          <w:color w:val="auto"/>
        </w:rPr>
        <w:t>commented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Yoni Assia, CEO and Co-Founder of eToro</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“Strong first quarter 2026 results supported by a surge in commodities trading, demonstrated the strength of our multi-asset business model. We delivered compelling financial performance through a combination of diversified revenue streams, strong funded accounts growth, and increased customer engagement. We continue to execute with discipline and focus as we seek to deliver long-term value to our shareholders,” </w:t>
      </w:r>
      <w:r>
        <w:rPr>
          <w:rFonts w:ascii="Times New Roman" w:cs="Times New Roman" w:eastAsia="Times New Roman" w:hAnsi="Times New Roman"/>
          <w:sz w:val="18"/>
          <w:szCs w:val="18"/>
          <w:color w:val="auto"/>
        </w:rPr>
        <w:t>said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Meron Shani, eToro CFO</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and Product Highlights</w:t>
      </w:r>
      <w:r>
        <w:rPr>
          <w:rFonts w:ascii="Times New Roman" w:cs="Times New Roman" w:eastAsia="Times New Roman" w:hAnsi="Times New Roman"/>
          <w:sz w:val="29"/>
          <w:szCs w:val="29"/>
          <w:color w:val="auto"/>
          <w:vertAlign w:val="superscript"/>
        </w:rPr>
        <w:t>1</w:t>
      </w:r>
    </w:p>
    <w:p>
      <w:pPr>
        <w:spacing w:after="0" w:line="131" w:lineRule="exact"/>
        <w:rPr>
          <w:sz w:val="20"/>
          <w:szCs w:val="20"/>
          <w:color w:val="auto"/>
        </w:rPr>
      </w:pPr>
    </w:p>
    <w:p>
      <w:pPr>
        <w:ind w:left="660" w:hanging="328"/>
        <w:spacing w:after="0" w:line="286" w:lineRule="auto"/>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contribution </w:t>
      </w:r>
      <w:r>
        <w:rPr>
          <w:rFonts w:ascii="Times New Roman" w:cs="Times New Roman" w:eastAsia="Times New Roman" w:hAnsi="Times New Roman"/>
          <w:sz w:val="18"/>
          <w:szCs w:val="18"/>
          <w:color w:val="auto"/>
        </w:rPr>
        <w:t>increased by 19% year-over-year to $258 million, compared to $217 million in the first quarter of 2025, driven primarily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increased commodities trading activity.</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(GAAP) </w:t>
      </w:r>
      <w:r>
        <w:rPr>
          <w:rFonts w:ascii="Times New Roman" w:cs="Times New Roman" w:eastAsia="Times New Roman" w:hAnsi="Times New Roman"/>
          <w:sz w:val="18"/>
          <w:szCs w:val="18"/>
          <w:color w:val="auto"/>
        </w:rPr>
        <w:t>increased by 37% year-over-year to $82 million, compared to $60 million in the first quarter of 2025.</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Net Income (Non-GAAP) </w:t>
      </w:r>
      <w:r>
        <w:rPr>
          <w:rFonts w:ascii="Times New Roman" w:cs="Times New Roman" w:eastAsia="Times New Roman" w:hAnsi="Times New Roman"/>
          <w:sz w:val="18"/>
          <w:szCs w:val="18"/>
          <w:color w:val="auto"/>
        </w:rPr>
        <w:t>increased by 28% year-over-year to $86 million, compared to $67 million in the first quarter of 2025.</w:t>
      </w:r>
    </w:p>
    <w:p>
      <w:pPr>
        <w:spacing w:after="0" w:line="225"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EBITDA (Non-GAAP) </w:t>
      </w:r>
      <w:r>
        <w:rPr>
          <w:rFonts w:ascii="Times New Roman" w:cs="Times New Roman" w:eastAsia="Times New Roman" w:hAnsi="Times New Roman"/>
          <w:sz w:val="18"/>
          <w:szCs w:val="18"/>
          <w:color w:val="auto"/>
        </w:rPr>
        <w:t>increased by 35% year-over-year to $109 million, compared to $80 million in the first quarter of 2025, largely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due to increased net contribution.</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Diluted EPS (Non-GAAP) </w:t>
      </w:r>
      <w:r>
        <w:rPr>
          <w:rFonts w:ascii="Times New Roman" w:cs="Times New Roman" w:eastAsia="Times New Roman" w:hAnsi="Times New Roman"/>
          <w:sz w:val="18"/>
          <w:szCs w:val="18"/>
          <w:color w:val="auto"/>
        </w:rPr>
        <w:t>was $0.91, compared to $0.77 in the first quarter of 2025.</w:t>
      </w:r>
    </w:p>
    <w:p>
      <w:pPr>
        <w:spacing w:after="0" w:line="225"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Funded Accounts </w:t>
      </w:r>
      <w:r>
        <w:rPr>
          <w:rFonts w:ascii="Times New Roman" w:cs="Times New Roman" w:eastAsia="Times New Roman" w:hAnsi="Times New Roman"/>
          <w:sz w:val="18"/>
          <w:szCs w:val="18"/>
          <w:color w:val="auto"/>
        </w:rPr>
        <w:t>increased 12% year-over-year to 4.02 million compared to 3.58 million in the first quarter of 2025. This was driven primarily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increased marketing spend on user acquisition and retention efforts.</w:t>
      </w:r>
    </w:p>
    <w:p>
      <w:pPr>
        <w:spacing w:after="0" w:line="1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Assets under Administration </w:t>
      </w:r>
      <w:r>
        <w:rPr>
          <w:rFonts w:ascii="Times New Roman" w:cs="Times New Roman" w:eastAsia="Times New Roman" w:hAnsi="Times New Roman"/>
          <w:sz w:val="18"/>
          <w:szCs w:val="18"/>
          <w:color w:val="auto"/>
        </w:rPr>
        <w:t>grew by 15% year-over-year to $17.0 billion, compared to $14.8 billion in the first quarter of 2025.</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Cash Equivalents and Short Term Investments </w:t>
      </w:r>
      <w:r>
        <w:rPr>
          <w:rFonts w:ascii="Times New Roman" w:cs="Times New Roman" w:eastAsia="Times New Roman" w:hAnsi="Times New Roman"/>
          <w:sz w:val="18"/>
          <w:szCs w:val="18"/>
          <w:color w:val="auto"/>
        </w:rPr>
        <w:t>were $1.3 billion as of March 31, 2026.</w:t>
      </w:r>
    </w:p>
    <w:p>
      <w:pPr>
        <w:spacing w:after="0" w:line="225"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Launched key products </w:t>
      </w:r>
      <w:r>
        <w:rPr>
          <w:rFonts w:ascii="Times New Roman" w:cs="Times New Roman" w:eastAsia="Times New Roman" w:hAnsi="Times New Roman"/>
          <w:sz w:val="18"/>
          <w:szCs w:val="18"/>
          <w:color w:val="auto"/>
        </w:rPr>
        <w:t>in AI, 24/7 trading, savings and eToro Money across our four pillars of Trading, Investing, Wealth Management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Neo-Banking.</w:t>
      </w:r>
    </w:p>
    <w:p>
      <w:pPr>
        <w:spacing w:after="0" w:line="14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 xml:space="preserve">Acquisition </w:t>
      </w:r>
      <w:r>
        <w:rPr>
          <w:rFonts w:ascii="Times New Roman" w:cs="Times New Roman" w:eastAsia="Times New Roman" w:hAnsi="Times New Roman"/>
          <w:sz w:val="18"/>
          <w:szCs w:val="18"/>
          <w:color w:val="auto"/>
        </w:rPr>
        <w:t>of Zengo, a leading self-custodial crypto wallet provider, which closed on April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2026.</w:t>
      </w:r>
    </w:p>
    <w:p>
      <w:pPr>
        <w:spacing w:after="0" w:line="115" w:lineRule="exact"/>
        <w:rPr>
          <w:rFonts w:ascii="Times New Roman" w:cs="Times New Roman" w:eastAsia="Times New Roman" w:hAnsi="Times New Roman"/>
          <w:sz w:val="36"/>
          <w:szCs w:val="36"/>
          <w:color w:val="auto"/>
          <w:vertAlign w:val="superscript"/>
        </w:rPr>
      </w:pPr>
    </w:p>
    <w:p>
      <w:pPr>
        <w:ind w:left="340" w:hanging="324"/>
        <w:spacing w:after="0" w:line="199" w:lineRule="auto"/>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See “Non-GAAP Financial Metrics and Key Performance Indicators” below for additional information and a reconciliation to GAAP for all Non-GAAP financial metrics. Adjusted EBITDA margin is based on net contribution.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178308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178308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April KPI metrics</w:t>
      </w:r>
      <w:r>
        <w:rPr>
          <w:rFonts w:ascii="Times New Roman" w:cs="Times New Roman" w:eastAsia="Times New Roman" w:hAnsi="Times New Roman"/>
          <w:sz w:val="29"/>
          <w:szCs w:val="29"/>
          <w:color w:val="auto"/>
          <w:vertAlign w:val="superscript"/>
        </w:rPr>
        <w:t>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eToro also reported the below selected monthly business metrics for April 2026:</w:t>
      </w:r>
    </w:p>
    <w:p>
      <w:pPr>
        <w:spacing w:after="0" w:line="221"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Assets under Administration (AUA) </w:t>
      </w:r>
      <w:r>
        <w:rPr>
          <w:rFonts w:ascii="Times New Roman" w:cs="Times New Roman" w:eastAsia="Times New Roman" w:hAnsi="Times New Roman"/>
          <w:sz w:val="18"/>
          <w:szCs w:val="18"/>
          <w:color w:val="auto"/>
        </w:rPr>
        <w:t>were $18.7 billion, up 19% year-over-year.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Funded Accounts </w:t>
      </w:r>
      <w:r>
        <w:rPr>
          <w:rFonts w:ascii="Times New Roman" w:cs="Times New Roman" w:eastAsia="Times New Roman" w:hAnsi="Times New Roman"/>
          <w:sz w:val="18"/>
          <w:szCs w:val="18"/>
          <w:color w:val="auto"/>
        </w:rPr>
        <w:t>were 4.07 million, up 13% year-over-year.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Capital Markets/ECC Activity</w:t>
      </w:r>
    </w:p>
    <w:p>
      <w:pPr>
        <w:spacing w:after="0" w:line="22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number of trades for April was 63 million, up 50% year-over-year;</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Invested amount per trade for April was $197, down 48% year-over-year.</w:t>
      </w:r>
    </w:p>
    <w:p>
      <w:pPr>
        <w:spacing w:after="0" w:line="2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Crypto Activity</w:t>
      </w:r>
    </w:p>
    <w:p>
      <w:pPr>
        <w:spacing w:after="0" w:line="22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number of trades for April was 2 million, down 32% year-over-year;</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Invested amount per trade for April was $207, down 22% year-over-year.</w:t>
      </w:r>
    </w:p>
    <w:p>
      <w:pPr>
        <w:spacing w:after="0" w:line="2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Interest Earning Assets </w:t>
      </w:r>
      <w:r>
        <w:rPr>
          <w:rFonts w:ascii="Times New Roman" w:cs="Times New Roman" w:eastAsia="Times New Roman" w:hAnsi="Times New Roman"/>
          <w:sz w:val="18"/>
          <w:szCs w:val="18"/>
          <w:color w:val="auto"/>
        </w:rPr>
        <w:t>for April were $7.0 billion, up 28% year-over-year.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Money Transfers </w:t>
      </w:r>
      <w:r>
        <w:rPr>
          <w:rFonts w:ascii="Times New Roman" w:cs="Times New Roman" w:eastAsia="Times New Roman" w:hAnsi="Times New Roman"/>
          <w:sz w:val="18"/>
          <w:szCs w:val="18"/>
          <w:color w:val="auto"/>
        </w:rPr>
        <w:t>for April were $1.4 billion, up 53% year-over-year.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Highlights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eToro accelerated product development in the first quarter, launching products and services to support users at every stage of their investing journey.</w:t>
      </w:r>
    </w:p>
    <w:p>
      <w:pPr>
        <w:spacing w:after="0" w:line="221" w:lineRule="exact"/>
        <w:rPr>
          <w:sz w:val="20"/>
          <w:szCs w:val="20"/>
          <w:color w:val="auto"/>
        </w:rPr>
      </w:pPr>
    </w:p>
    <w:p>
      <w:pPr>
        <w:jc w:val="both"/>
        <w:ind w:left="660" w:hanging="328"/>
        <w:spacing w:after="0" w:line="26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Trading: </w:t>
      </w:r>
      <w:r>
        <w:rPr>
          <w:rFonts w:ascii="Times New Roman" w:cs="Times New Roman" w:eastAsia="Times New Roman" w:hAnsi="Times New Roman"/>
          <w:sz w:val="18"/>
          <w:szCs w:val="18"/>
          <w:color w:val="auto"/>
        </w:rPr>
        <w:t>eToro expanded its offering with the launch of 24/7 trading for select commodities, equities and indices. Commodities trading accounted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approximately 60% of trading commissions in the quarter, and volumes increased nearly fourfold year-over-year. With the addition of Japanese equities, eToro now offers users the ability to trade equities from 26 exchanges. The Company introduced crypto trading for users in New York, successfully activating its BitLicense and Money Transmitter License.</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Investing: </w:t>
      </w:r>
      <w:r>
        <w:rPr>
          <w:rFonts w:ascii="Times New Roman" w:cs="Times New Roman" w:eastAsia="Times New Roman" w:hAnsi="Times New Roman"/>
          <w:sz w:val="18"/>
          <w:szCs w:val="18"/>
          <w:color w:val="auto"/>
        </w:rPr>
        <w:t>eToro continued to enhance its investing experience including the launch of the eToro App Store, a marketplace enabling investors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developers to access, build, share, and scale trading and analytics applications directly within the eToro ecosystem. As part of its commitment to AI-powered investing, eToro introduced Agent Portfolios, dedicated sub-portfolios, which provide a structured way to experiment with intelligent portfolio automation in a controlled environment through a simple conversational interface with Tori, eToro’s AI agent. eToro also expanded its partnership with xAI, embedding real-time market sentiment powered by Grok 4.2 directly into Tori’s investing workflow.</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Wealth Management: </w:t>
      </w:r>
      <w:r>
        <w:rPr>
          <w:rFonts w:ascii="Times New Roman" w:cs="Times New Roman" w:eastAsia="Times New Roman" w:hAnsi="Times New Roman"/>
          <w:sz w:val="18"/>
          <w:szCs w:val="18"/>
          <w:color w:val="auto"/>
        </w:rPr>
        <w:t>eToro strengthened its wealth offering supported by growth in UK ISAs and the launch of an upgraded subscription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The Company is targeting a market opportunity exceeding $1 trillion, with strong momentum in the UK cash ISA segment, where assets under management in the quarter grew 15x year-over-year. eToro introduced an upgraded eToro Club Subscription, providing access to exclusive wealth tools, enhanced investing features, and premium rewards.</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Neo-Banking: </w:t>
      </w:r>
      <w:r>
        <w:rPr>
          <w:rFonts w:ascii="Times New Roman" w:cs="Times New Roman" w:eastAsia="Times New Roman" w:hAnsi="Times New Roman"/>
          <w:sz w:val="18"/>
          <w:szCs w:val="18"/>
          <w:color w:val="auto"/>
        </w:rPr>
        <w:t>The European rollout of the eToro Money card continued to see strong adoption, with the number of new cards issued increasing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2.2x quarter-over-quarter. eToro continues to expand its localized experience to strengthen user trust, drive adoption, and support sustainable growth across key regions.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M&amp;A: </w:t>
      </w:r>
      <w:r>
        <w:rPr>
          <w:rFonts w:ascii="Times New Roman" w:cs="Times New Roman" w:eastAsia="Times New Roman" w:hAnsi="Times New Roman"/>
          <w:sz w:val="18"/>
          <w:szCs w:val="18"/>
          <w:color w:val="auto"/>
        </w:rPr>
        <w:t>In April, eToro announced the acquisition of Zengo, combining eToro’s global multi-asset platform and distribution with Zengo’s secure,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self-custodial wallet technology. The acquisition strengthens the Company’s digital asset capabilities and accelerates its strategy to bridge traditional finance with on-chain infrastructure and the crypto-native economy.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78308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95" w:lineRule="exact"/>
        <w:rPr>
          <w:sz w:val="20"/>
          <w:szCs w:val="20"/>
          <w:color w:val="auto"/>
        </w:rPr>
      </w:pPr>
    </w:p>
    <w:p>
      <w:pPr>
        <w:jc w:val="both"/>
        <w:ind w:left="340" w:hanging="332"/>
        <w:spacing w:after="0" w:line="228" w:lineRule="auto"/>
        <w:tabs>
          <w:tab w:leader="none" w:pos="34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Numbers may not sum up due to rounding; percentage changes based on unrounded data. This selected preliminary data has not been audited or reviewed and should not be extrapolated for future periods. April 2026 metrics are based on currently available information and are subject to update. Final results and other business metrics for the full fiscal quarter will be available in our filings with the U.S. Securities and Exchange Commission (“SEC”) or otherwise publicly disclosed and might vary from the information above. eToro’s management uses the foregoing key performance indicators to help evaluate the business, measure its performance, identify trends, prepare financial projections and make business decisions. Definitions of performance indicators can be found elsewhere in this press release.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Conference Call and Livestream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eToro will host a video call to discuss its results at 5:30 a.m. PT / 8:30 a.m. ET today, May 12, 2026. The video call can be accessed at investors.etoro.com, along with this earnings press release and accompanying slide presentation. The event will also be live streamed to eToro’s YouTube and X.com official channels.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Relations – pr@etoro.com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 investors@etoro.com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eToro</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eToro is the trading and investing platform that empowers you to invest, share and learn. We were founded in 2007 with the vision of a world where everyone can trade and invest in a simple and transparent way. Today we have 40 million registered users from 75 countries. We believe there is power in shared knowledge and that we can become more successful by investing together. So we’ve created a collaborative investment community designed to provide you with the tools you need to grow your knowledge and wealth. On eToro, you can hold a range of traditional and innovative assets and choose how you invest: trade directly, invest in a portfolio, or copy other investors. You can visit our media center here for our latest news.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March 31</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4840" w:type="dxa"/>
            <w:vAlign w:val="bottom"/>
          </w:tcPr>
          <w:p>
            <w:pPr>
              <w:spacing w:after="0"/>
              <w:rPr>
                <w:sz w:val="21"/>
                <w:szCs w:val="21"/>
                <w:color w:val="auto"/>
              </w:rPr>
            </w:pPr>
          </w:p>
        </w:tc>
        <w:tc>
          <w:tcPr>
            <w:tcW w:w="4960" w:type="dxa"/>
            <w:vAlign w:val="bottom"/>
            <w:gridSpan w:val="2"/>
          </w:tcPr>
          <w:p>
            <w:pPr>
              <w:jc w:val="center"/>
              <w:ind w:left="37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r>
      <w:tr>
        <w:trPr>
          <w:trHeight w:val="223"/>
        </w:trPr>
        <w:tc>
          <w:tcPr>
            <w:tcW w:w="484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 w:type="dxa"/>
            <w:vAlign w:val="bottom"/>
          </w:tcPr>
          <w:p>
            <w:pPr>
              <w:spacing w:after="0"/>
              <w:rPr>
                <w:sz w:val="19"/>
                <w:szCs w:val="19"/>
                <w:color w:val="auto"/>
              </w:rPr>
            </w:pPr>
          </w:p>
        </w:tc>
      </w:tr>
      <w:tr>
        <w:trPr>
          <w:trHeight w:val="194"/>
        </w:trPr>
        <w:tc>
          <w:tcPr>
            <w:tcW w:w="48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Assets</w:t>
            </w:r>
          </w:p>
        </w:tc>
        <w:tc>
          <w:tcPr>
            <w:tcW w:w="38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8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1,047,403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1,072,641</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5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327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329</w:t>
            </w: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w:t>
            </w:r>
          </w:p>
        </w:tc>
        <w:tc>
          <w:tcPr>
            <w:tcW w:w="5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228,248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202,688</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Counterparties</w:t>
            </w:r>
          </w:p>
        </w:tc>
        <w:tc>
          <w:tcPr>
            <w:tcW w:w="5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347,053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249,055</w:t>
            </w: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Cryptoassets</w:t>
            </w:r>
          </w:p>
        </w:tc>
        <w:tc>
          <w:tcPr>
            <w:tcW w:w="5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60,536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62,606</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Receivable from omnibus accounts</w:t>
            </w:r>
          </w:p>
        </w:tc>
        <w:tc>
          <w:tcPr>
            <w:tcW w:w="5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8,951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26,820</w:t>
            </w:r>
          </w:p>
        </w:tc>
      </w:tr>
      <w:tr>
        <w:trPr>
          <w:trHeight w:val="25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 and prepaid expenses</w:t>
            </w:r>
          </w:p>
        </w:tc>
        <w:tc>
          <w:tcPr>
            <w:tcW w:w="5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66,339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61,299</w:t>
            </w:r>
          </w:p>
        </w:tc>
      </w:tr>
      <w:tr>
        <w:trPr>
          <w:trHeight w:val="210"/>
        </w:trPr>
        <w:tc>
          <w:tcPr>
            <w:tcW w:w="4840" w:type="dxa"/>
            <w:vAlign w:val="bottom"/>
            <w:tcBorders>
              <w:top w:val="single" w:sz="8" w:color="CCEEFF"/>
              <w:bottom w:val="single" w:sz="8" w:color="CCEEFF"/>
            </w:tcBorders>
          </w:tcPr>
          <w:p>
            <w:pPr>
              <w:spacing w:after="0"/>
              <w:rPr>
                <w:sz w:val="18"/>
                <w:szCs w:val="18"/>
                <w:color w:val="auto"/>
              </w:rPr>
            </w:pPr>
          </w:p>
        </w:tc>
        <w:tc>
          <w:tcPr>
            <w:tcW w:w="384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1,758,857</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1,675,438</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3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5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11,794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11,688</w:t>
            </w: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assets</w:t>
            </w:r>
          </w:p>
        </w:tc>
        <w:tc>
          <w:tcPr>
            <w:tcW w:w="5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25,695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41,873</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5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8,681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7,361</w:t>
            </w: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and other intangible assets, net</w:t>
            </w:r>
          </w:p>
        </w:tc>
        <w:tc>
          <w:tcPr>
            <w:tcW w:w="5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42,508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43,211</w:t>
            </w:r>
          </w:p>
        </w:tc>
      </w:tr>
      <w:tr>
        <w:trPr>
          <w:trHeight w:val="237"/>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5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11,513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11,776</w:t>
            </w:r>
          </w:p>
        </w:tc>
      </w:tr>
      <w:tr>
        <w:trPr>
          <w:trHeight w:val="223"/>
        </w:trPr>
        <w:tc>
          <w:tcPr>
            <w:tcW w:w="4840" w:type="dxa"/>
            <w:vAlign w:val="bottom"/>
            <w:tcBorders>
              <w:top w:val="single" w:sz="8" w:color="CCEEFF"/>
              <w:bottom w:val="single" w:sz="8" w:color="CCEEFF"/>
            </w:tcBorders>
            <w:shd w:val="clear" w:color="auto" w:fill="CCEEFF"/>
          </w:tcPr>
          <w:p>
            <w:pPr>
              <w:spacing w:after="0"/>
              <w:rPr>
                <w:sz w:val="19"/>
                <w:szCs w:val="19"/>
                <w:color w:val="auto"/>
              </w:rPr>
            </w:pPr>
          </w:p>
        </w:tc>
        <w:tc>
          <w:tcPr>
            <w:tcW w:w="38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100,191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115,909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48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1,859,048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1,791,347</w:t>
            </w:r>
          </w:p>
        </w:tc>
      </w:tr>
      <w:tr>
        <w:trPr>
          <w:trHeight w:val="216"/>
        </w:trPr>
        <w:tc>
          <w:tcPr>
            <w:tcW w:w="4840" w:type="dxa"/>
            <w:vAlign w:val="bottom"/>
            <w:tcBorders>
              <w:top w:val="single" w:sz="8" w:color="CCEEFF"/>
            </w:tcBorders>
          </w:tcPr>
          <w:p>
            <w:pPr>
              <w:spacing w:after="0"/>
              <w:rPr>
                <w:sz w:val="18"/>
                <w:szCs w:val="18"/>
                <w:color w:val="auto"/>
              </w:rPr>
            </w:pPr>
          </w:p>
        </w:tc>
        <w:tc>
          <w:tcPr>
            <w:tcW w:w="384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equities</w:t>
            </w:r>
          </w:p>
        </w:tc>
        <w:tc>
          <w:tcPr>
            <w:tcW w:w="3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8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5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5,163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4,435</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Current maturities of long-term lease liabilities</w:t>
            </w:r>
          </w:p>
        </w:tc>
        <w:tc>
          <w:tcPr>
            <w:tcW w:w="5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5,462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5,978</w:t>
            </w: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 term liabilities</w:t>
            </w:r>
          </w:p>
        </w:tc>
        <w:tc>
          <w:tcPr>
            <w:tcW w:w="5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7,923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8,994</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Payable to users</w:t>
            </w:r>
          </w:p>
        </w:tc>
        <w:tc>
          <w:tcPr>
            <w:tcW w:w="5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190,579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107,830</w:t>
            </w:r>
          </w:p>
        </w:tc>
      </w:tr>
      <w:tr>
        <w:trPr>
          <w:trHeight w:val="25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payables</w:t>
            </w:r>
          </w:p>
        </w:tc>
        <w:tc>
          <w:tcPr>
            <w:tcW w:w="5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239,123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215,414</w:t>
            </w:r>
          </w:p>
        </w:tc>
      </w:tr>
      <w:tr>
        <w:trPr>
          <w:trHeight w:val="210"/>
        </w:trPr>
        <w:tc>
          <w:tcPr>
            <w:tcW w:w="4840" w:type="dxa"/>
            <w:vAlign w:val="bottom"/>
            <w:tcBorders>
              <w:top w:val="single" w:sz="8" w:color="CCEEFF"/>
              <w:bottom w:val="single" w:sz="8" w:color="CCEEFF"/>
            </w:tcBorders>
          </w:tcPr>
          <w:p>
            <w:pPr>
              <w:spacing w:after="0"/>
              <w:rPr>
                <w:sz w:val="18"/>
                <w:szCs w:val="18"/>
                <w:color w:val="auto"/>
              </w:rPr>
            </w:pPr>
          </w:p>
        </w:tc>
        <w:tc>
          <w:tcPr>
            <w:tcW w:w="384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448,250</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342,651</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3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Employee benefit liabilities, net</w:t>
            </w:r>
          </w:p>
        </w:tc>
        <w:tc>
          <w:tcPr>
            <w:tcW w:w="5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923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962</w:t>
            </w: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5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28,207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48,485</w:t>
            </w:r>
          </w:p>
        </w:tc>
      </w:tr>
      <w:tr>
        <w:trPr>
          <w:trHeight w:val="23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5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4,495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4,659</w:t>
            </w:r>
          </w:p>
        </w:tc>
      </w:tr>
      <w:tr>
        <w:trPr>
          <w:trHeight w:val="236"/>
        </w:trPr>
        <w:tc>
          <w:tcPr>
            <w:tcW w:w="4840" w:type="dxa"/>
            <w:vAlign w:val="bottom"/>
            <w:tcBorders>
              <w:top w:val="single" w:sz="8" w:color="CCEEFF"/>
              <w:bottom w:val="single" w:sz="8" w:color="CCEEFF"/>
            </w:tcBorders>
            <w:shd w:val="clear" w:color="auto" w:fill="CCEEFF"/>
          </w:tcPr>
          <w:p>
            <w:pPr>
              <w:spacing w:after="0"/>
              <w:rPr>
                <w:sz w:val="20"/>
                <w:szCs w:val="20"/>
                <w:color w:val="auto"/>
              </w:rPr>
            </w:pPr>
          </w:p>
        </w:tc>
        <w:tc>
          <w:tcPr>
            <w:tcW w:w="384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33,625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54,106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484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Equity attributable to equity holders of the company:</w:t>
            </w:r>
          </w:p>
        </w:tc>
        <w:tc>
          <w:tcPr>
            <w:tcW w:w="3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 premium</w:t>
            </w:r>
          </w:p>
        </w:tc>
        <w:tc>
          <w:tcPr>
            <w:tcW w:w="5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1,280,706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1,273,894</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Preferred share premium</w:t>
            </w:r>
          </w:p>
        </w:tc>
        <w:tc>
          <w:tcPr>
            <w:tcW w:w="38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5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(165,157)</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(62,085)</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Advanced Investment Agreement</w:t>
            </w:r>
          </w:p>
        </w:tc>
        <w:tc>
          <w:tcPr>
            <w:tcW w:w="5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9,091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9,091</w:t>
            </w: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capital reserve</w:t>
            </w:r>
          </w:p>
        </w:tc>
        <w:tc>
          <w:tcPr>
            <w:tcW w:w="5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5,441</w:t>
            </w:r>
          </w:p>
        </w:tc>
      </w:tr>
      <w:tr>
        <w:trPr>
          <w:trHeight w:val="23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5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250,652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168,249</w:t>
            </w:r>
          </w:p>
        </w:tc>
      </w:tr>
      <w:tr>
        <w:trPr>
          <w:trHeight w:val="236"/>
        </w:trPr>
        <w:tc>
          <w:tcPr>
            <w:tcW w:w="4840" w:type="dxa"/>
            <w:vAlign w:val="bottom"/>
            <w:tcBorders>
              <w:top w:val="single" w:sz="8" w:color="CCEEFF"/>
              <w:bottom w:val="single" w:sz="8" w:color="CCEEFF"/>
            </w:tcBorders>
            <w:shd w:val="clear" w:color="auto" w:fill="CCEEFF"/>
          </w:tcPr>
          <w:p>
            <w:pPr>
              <w:spacing w:after="0"/>
              <w:rPr>
                <w:sz w:val="20"/>
                <w:szCs w:val="20"/>
                <w:color w:val="auto"/>
              </w:rPr>
            </w:pPr>
          </w:p>
        </w:tc>
        <w:tc>
          <w:tcPr>
            <w:tcW w:w="384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1,377,173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1,394,590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484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840" w:type="dxa"/>
            <w:vAlign w:val="bottom"/>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1,859,048</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1,791,347</w:t>
            </w:r>
          </w:p>
        </w:tc>
        <w:tc>
          <w:tcPr>
            <w:tcW w:w="100" w:type="dxa"/>
            <w:vAlign w:val="bottom"/>
          </w:tcPr>
          <w:p>
            <w:pPr>
              <w:spacing w:after="0"/>
              <w:rPr>
                <w:sz w:val="18"/>
                <w:szCs w:val="18"/>
                <w:color w:val="auto"/>
              </w:rPr>
            </w:pPr>
          </w:p>
        </w:tc>
      </w:tr>
      <w:tr>
        <w:trPr>
          <w:trHeight w:val="655"/>
        </w:trPr>
        <w:tc>
          <w:tcPr>
            <w:tcW w:w="484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jc w:val="right"/>
              <w:ind w:right="2930"/>
              <w:spacing w:after="0"/>
              <w:rPr>
                <w:sz w:val="20"/>
                <w:szCs w:val="20"/>
                <w:color w:val="auto"/>
              </w:rPr>
            </w:pPr>
            <w:r>
              <w:rPr>
                <w:rFonts w:ascii="Times New Roman" w:cs="Times New Roman" w:eastAsia="Times New Roman" w:hAnsi="Times New Roman"/>
                <w:sz w:val="18"/>
                <w:szCs w:val="18"/>
                <w:color w:val="auto"/>
              </w:rPr>
              <w:t>4</w:t>
            </w: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PROFIT OR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OTHER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22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rPr>
              <w:t>Three months</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20" w:type="dxa"/>
            <w:vAlign w:val="bottom"/>
            <w:gridSpan w:val="2"/>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45"/>
        </w:trPr>
        <w:tc>
          <w:tcPr>
            <w:tcW w:w="868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r>
      <w:tr>
        <w:trPr>
          <w:trHeight w:val="223"/>
        </w:trPr>
        <w:tc>
          <w:tcPr>
            <w:tcW w:w="868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 w:type="dxa"/>
            <w:vAlign w:val="bottom"/>
          </w:tcPr>
          <w:p>
            <w:pPr>
              <w:spacing w:after="0"/>
              <w:rPr>
                <w:sz w:val="19"/>
                <w:szCs w:val="19"/>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and income:</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trading income from equities, commodities and currencies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165,637</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96,837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cryptoassets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2,153,099</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3,500,800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trading income from cryptoassets derivatives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33,391</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77,051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income from users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47,326</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52,618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conversion and other income</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30,976</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23,911</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interest income</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8,707</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4,164</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 and income</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2,439,136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3,755,381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Costs: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 from cryptoassets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2,171,127</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3,528,853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Margin interest expense</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9,854</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9,159</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41,087</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36,621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61,505</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61,222</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General, administrative and operating costs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58,383</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49,502</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and other income, net</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(2,015)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costs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2,339,941</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3,684,840</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taxes on income</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99,195</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70,541</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on income</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16,791</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10,589</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income</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82,404</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59,952</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comprehensive income, net: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Items that may be reclassified subsequently to profit or loss: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flow hedges, net of tax</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(3,560)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(2,229)</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for the period, net of tax</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78,844</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57,723</w:t>
            </w:r>
          </w:p>
        </w:tc>
      </w:tr>
      <w:tr>
        <w:trPr>
          <w:trHeight w:val="216"/>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0.98</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0.79</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0.86</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0.69</w:t>
            </w: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4"/>
        </w:trPr>
        <w:tc>
          <w:tcPr>
            <w:tcW w:w="86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Weighted-average shares of common shares used to compute net income per share attributable to common</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84,155,367</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75,712,289</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94,177,135</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86,576,130</w:t>
            </w:r>
          </w:p>
        </w:tc>
      </w:tr>
      <w:tr>
        <w:trPr>
          <w:trHeight w:val="637"/>
        </w:trPr>
        <w:tc>
          <w:tcPr>
            <w:tcW w:w="868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5</w:t>
            </w: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22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rPr>
              <w:t>Three months</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20" w:type="dxa"/>
            <w:vAlign w:val="bottom"/>
            <w:gridSpan w:val="2"/>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25"/>
        </w:trPr>
        <w:tc>
          <w:tcPr>
            <w:tcW w:w="8680" w:type="dxa"/>
            <w:vAlign w:val="bottom"/>
          </w:tcPr>
          <w:p>
            <w:pPr>
              <w:spacing w:after="0"/>
              <w:rPr>
                <w:sz w:val="19"/>
                <w:szCs w:val="19"/>
                <w:color w:val="auto"/>
              </w:rPr>
            </w:pPr>
          </w:p>
        </w:tc>
        <w:tc>
          <w:tcPr>
            <w:tcW w:w="134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77"/>
        </w:trPr>
        <w:tc>
          <w:tcPr>
            <w:tcW w:w="868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4"/>
                <w:szCs w:val="24"/>
                <w:color w:val="auto"/>
              </w:rPr>
            </w:pPr>
          </w:p>
        </w:tc>
        <w:tc>
          <w:tcPr>
            <w:tcW w:w="112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6"/>
              </w:rPr>
              <w:t>2025</w:t>
            </w:r>
            <w:r>
              <w:rPr>
                <w:rFonts w:ascii="Times New Roman" w:cs="Times New Roman" w:eastAsia="Times New Roman" w:hAnsi="Times New Roman"/>
                <w:sz w:val="29"/>
                <w:szCs w:val="29"/>
                <w:b w:val="1"/>
                <w:bCs w:val="1"/>
                <w:color w:val="auto"/>
                <w:w w:val="96"/>
                <w:vertAlign w:val="superscript"/>
              </w:rPr>
              <w:t>3</w:t>
            </w:r>
          </w:p>
        </w:tc>
        <w:tc>
          <w:tcPr>
            <w:tcW w:w="100" w:type="dxa"/>
            <w:vAlign w:val="bottom"/>
          </w:tcPr>
          <w:p>
            <w:pPr>
              <w:spacing w:after="0"/>
              <w:rPr>
                <w:sz w:val="24"/>
                <w:szCs w:val="24"/>
                <w:color w:val="auto"/>
              </w:rPr>
            </w:pPr>
          </w:p>
        </w:tc>
      </w:tr>
      <w:tr>
        <w:trPr>
          <w:trHeight w:val="223"/>
        </w:trPr>
        <w:tc>
          <w:tcPr>
            <w:tcW w:w="868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 w:type="dxa"/>
            <w:vAlign w:val="bottom"/>
          </w:tcPr>
          <w:p>
            <w:pPr>
              <w:spacing w:after="0"/>
              <w:rPr>
                <w:sz w:val="19"/>
                <w:szCs w:val="19"/>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82,404</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59,952</w:t>
            </w: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Adjustments to profit or loss items:</w:t>
            </w: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amortization, impairment and disposal Costs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3,216</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3,011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4,052</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4,287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Evaluation of liabilities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(1,071)</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1,831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Revaluation of fair value of cryptoassets and counterparties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99,937</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51,830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revenue from staking and blockchain rewards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(6,605)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Non-cash costs from staking and blockchain rewards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4,287</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5,847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and other income, net</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(2,015)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Taxes on income, net</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16,791</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10,589</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adjustments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118,592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68,155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Changes in asset and liability items: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of counterparties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(194,072)</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(63,184)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Decrease of cryptoassets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197</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13,154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of other receivables and prepaid expenses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(9,168)</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(7,029)</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Increase of restricted cash</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of user and omnibus accounts, net</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99,928</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48,901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Decrease of accounts payable</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(499)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of accrued expenses and other payables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14,649</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(19,753)</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Decrease of employee benefit liabilities, net</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(601)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 cash items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(89,648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(28,734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Interest received (paid), net during the period</w:t>
            </w: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(1,151)</w:t>
            </w:r>
          </w:p>
        </w:tc>
        <w:tc>
          <w:tcPr>
            <w:tcW w:w="2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967</w:t>
            </w:r>
          </w:p>
        </w:tc>
        <w:tc>
          <w:tcPr>
            <w:tcW w:w="100" w:type="dxa"/>
            <w:vAlign w:val="bottom"/>
          </w:tcPr>
          <w:p>
            <w:pPr>
              <w:spacing w:after="0"/>
              <w:rPr>
                <w:sz w:val="17"/>
                <w:szCs w:val="17"/>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paid, net during the period</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(5,801)</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104,396</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94,783</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of short-term deposits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(137,515)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Decrease of short-term deposits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112,307</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75,000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of long-term investments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(500)</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(2,122)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(522)</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(27,995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(11,579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options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1,638</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lease liability</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(1,391)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(1,147)</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shares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(101,102)</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(100,855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(867</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differences on balances of cash and cash equivalents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7,379</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Increase (decrease) in cash and cash equivalents</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(25,238</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89,716</w:t>
            </w:r>
          </w:p>
        </w:tc>
        <w:tc>
          <w:tcPr>
            <w:tcW w:w="100" w:type="dxa"/>
            <w:vAlign w:val="bottom"/>
            <w:tcBorders>
              <w:bottom w:val="single" w:sz="8" w:color="CCEEFF"/>
            </w:tcBorders>
          </w:tcPr>
          <w:p>
            <w:pPr>
              <w:spacing w:after="0"/>
              <w:rPr>
                <w:sz w:val="18"/>
                <w:szCs w:val="18"/>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1,072,641</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575,395</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25"/>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1,047,403</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665,111</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78308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96" w:lineRule="exact"/>
        <w:rPr>
          <w:sz w:val="20"/>
          <w:szCs w:val="20"/>
          <w:color w:val="auto"/>
        </w:rPr>
      </w:pPr>
    </w:p>
    <w:p>
      <w:pPr>
        <w:ind w:left="340" w:hanging="332"/>
        <w:spacing w:after="0" w:line="195" w:lineRule="auto"/>
        <w:tabs>
          <w:tab w:leader="none" w:pos="34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comparative financial information has been adjusted to reflect the change in accounting policy regarding the classification of $5 million USDC as cash equivalents.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Non-GAAP Financial Metrics and Key Performance Indicators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and the accompanying tables contain financial measures that are not calculated in accordance with International Financial Reporting Standards nor with Generally Accepted Accounting Principles (collectively “GAAP”) metrics, including Adjusted EBITDA, Adjusted Net Income and Adjusted Diluted EPS. The inclusion of the non-GAAP financial information is not intended to be considered in isolation or as a substitute for the financial information prepared and presented in accordance with GAAP. eToro believes these non-GAAP financial measures provide important supplemental information to management regarding financial and business trends used in assessing its results of operations. eToro believes excluding specified items provides a more meaningful comparison to the corresponding reporting periods and internal budgets and forecasts, assists investors in performing analysis that is consistent with financial models developed by investors and research analysts, provides management with a more relevant measure of operating performance and is more useful in assessing management performance.</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eToro urges its investors to review the reconciliations of the non-GAAP financial measures included in this press release to the most directly comparable GAAP financial measure set forth herein, and not to rely on any single financial measure to evaluate eToro’s business.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This press release also includes key performance indicators that eToro’s management uses to help evaluate the business, measure its performance, identify trends, prepare financial projections and make business decisions. eToro’s key performance indicators include Funded Accounts, Assets Under Administration and Net Contribution. Definitions of performance indicators can be found elsewhere in this press release.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METRICS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Three months</w:t>
            </w:r>
          </w:p>
        </w:tc>
      </w:tr>
      <w:tr>
        <w:trPr>
          <w:trHeight w:val="216"/>
        </w:trPr>
        <w:tc>
          <w:tcPr>
            <w:tcW w:w="388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388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45"/>
        </w:trPr>
        <w:tc>
          <w:tcPr>
            <w:tcW w:w="3880" w:type="dxa"/>
            <w:vAlign w:val="bottom"/>
          </w:tcPr>
          <w:p>
            <w:pPr>
              <w:spacing w:after="0"/>
              <w:rPr>
                <w:sz w:val="21"/>
                <w:szCs w:val="21"/>
                <w:color w:val="auto"/>
              </w:rPr>
            </w:pPr>
          </w:p>
        </w:tc>
        <w:tc>
          <w:tcPr>
            <w:tcW w:w="5920" w:type="dxa"/>
            <w:vAlign w:val="bottom"/>
            <w:gridSpan w:val="2"/>
          </w:tcPr>
          <w:p>
            <w:pPr>
              <w:jc w:val="center"/>
              <w:ind w:left="47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r>
      <w:tr>
        <w:trPr>
          <w:trHeight w:val="223"/>
        </w:trPr>
        <w:tc>
          <w:tcPr>
            <w:tcW w:w="388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 w:type="dxa"/>
            <w:vAlign w:val="bottom"/>
          </w:tcPr>
          <w:p>
            <w:pPr>
              <w:spacing w:after="0"/>
              <w:rPr>
                <w:sz w:val="19"/>
                <w:szCs w:val="19"/>
                <w:color w:val="auto"/>
              </w:rPr>
            </w:pPr>
          </w:p>
        </w:tc>
      </w:tr>
      <w:tr>
        <w:trPr>
          <w:trHeight w:val="216"/>
        </w:trPr>
        <w:tc>
          <w:tcPr>
            <w:tcW w:w="388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6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82,404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59,952</w:t>
            </w:r>
          </w:p>
        </w:tc>
      </w:tr>
      <w:tr>
        <w:trPr>
          <w:trHeight w:val="203"/>
        </w:trPr>
        <w:tc>
          <w:tcPr>
            <w:tcW w:w="38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Finance expense, net</w:t>
            </w:r>
          </w:p>
        </w:tc>
        <w:tc>
          <w:tcPr>
            <w:tcW w:w="480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2,091</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(517)</w:t>
            </w:r>
          </w:p>
        </w:tc>
        <w:tc>
          <w:tcPr>
            <w:tcW w:w="100" w:type="dxa"/>
            <w:vAlign w:val="bottom"/>
            <w:tcBorders>
              <w:top w:val="single" w:sz="8" w:color="CCEEFF"/>
            </w:tcBorders>
          </w:tcPr>
          <w:p>
            <w:pPr>
              <w:spacing w:after="0"/>
              <w:rPr>
                <w:sz w:val="17"/>
                <w:szCs w:val="17"/>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on income</w:t>
            </w:r>
          </w:p>
        </w:tc>
        <w:tc>
          <w:tcPr>
            <w:tcW w:w="6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16,791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10,589</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 expense</w:t>
            </w:r>
          </w:p>
        </w:tc>
        <w:tc>
          <w:tcPr>
            <w:tcW w:w="6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4,068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4,287</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3,216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3,010</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Employee non-cash expense</w:t>
            </w:r>
          </w:p>
        </w:tc>
        <w:tc>
          <w:tcPr>
            <w:tcW w:w="6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5,119</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(1,049)</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related costs</w:t>
            </w:r>
          </w:p>
        </w:tc>
        <w:tc>
          <w:tcPr>
            <w:tcW w:w="48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2,091</w:t>
            </w:r>
          </w:p>
        </w:tc>
      </w:tr>
      <w:tr>
        <w:trPr>
          <w:trHeight w:val="237"/>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 (income), net</w:t>
            </w:r>
          </w:p>
        </w:tc>
        <w:tc>
          <w:tcPr>
            <w:tcW w:w="6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(5,177)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1,831</w:t>
            </w:r>
          </w:p>
        </w:tc>
      </w:tr>
      <w:tr>
        <w:trPr>
          <w:trHeight w:val="236"/>
        </w:trPr>
        <w:tc>
          <w:tcPr>
            <w:tcW w:w="3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480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108,512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80,194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642"/>
        </w:trPr>
        <w:tc>
          <w:tcPr>
            <w:tcW w:w="38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jc w:val="right"/>
              <w:ind w:right="2930"/>
              <w:spacing w:after="0"/>
              <w:rPr>
                <w:sz w:val="20"/>
                <w:szCs w:val="20"/>
                <w:color w:val="auto"/>
              </w:rPr>
            </w:pPr>
            <w:r>
              <w:rPr>
                <w:rFonts w:ascii="Times New Roman" w:cs="Times New Roman" w:eastAsia="Times New Roman" w:hAnsi="Times New Roman"/>
                <w:sz w:val="18"/>
                <w:szCs w:val="18"/>
                <w:color w:val="auto"/>
              </w:rPr>
              <w:t>7</w:t>
            </w: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ETORO GROUP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INCOME TO ADJUSTED NET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w:t>
            </w:r>
          </w:p>
        </w:tc>
      </w:tr>
      <w:tr>
        <w:trPr>
          <w:trHeight w:val="216"/>
        </w:trPr>
        <w:tc>
          <w:tcPr>
            <w:tcW w:w="400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400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45"/>
        </w:trPr>
        <w:tc>
          <w:tcPr>
            <w:tcW w:w="400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r>
      <w:tr>
        <w:trPr>
          <w:trHeight w:val="238"/>
        </w:trPr>
        <w:tc>
          <w:tcPr>
            <w:tcW w:w="400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 w:type="dxa"/>
            <w:vAlign w:val="bottom"/>
          </w:tcPr>
          <w:p>
            <w:pPr>
              <w:spacing w:after="0"/>
              <w:rPr>
                <w:sz w:val="20"/>
                <w:szCs w:val="20"/>
                <w:color w:val="auto"/>
              </w:rPr>
            </w:pPr>
          </w:p>
        </w:tc>
      </w:tr>
      <w:tr>
        <w:trPr>
          <w:trHeight w:val="194"/>
        </w:trPr>
        <w:tc>
          <w:tcPr>
            <w:tcW w:w="400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9"/>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82,404</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59,952</w:t>
            </w:r>
          </w:p>
        </w:tc>
      </w:tr>
      <w:tr>
        <w:trPr>
          <w:trHeight w:val="203"/>
        </w:trPr>
        <w:tc>
          <w:tcPr>
            <w:tcW w:w="40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Share-based payment expense</w:t>
            </w:r>
          </w:p>
        </w:tc>
        <w:tc>
          <w:tcPr>
            <w:tcW w:w="46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4,068</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4,287</w:t>
            </w:r>
          </w:p>
        </w:tc>
        <w:tc>
          <w:tcPr>
            <w:tcW w:w="100" w:type="dxa"/>
            <w:vAlign w:val="bottom"/>
            <w:tcBorders>
              <w:top w:val="single" w:sz="8" w:color="CCEEFF"/>
            </w:tcBorders>
          </w:tcPr>
          <w:p>
            <w:pPr>
              <w:spacing w:after="0"/>
              <w:rPr>
                <w:sz w:val="17"/>
                <w:szCs w:val="17"/>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4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838</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Employee non-cash expense</w:t>
            </w: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5,119</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(1,049)</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related costs</w:t>
            </w:r>
          </w:p>
        </w:tc>
        <w:tc>
          <w:tcPr>
            <w:tcW w:w="4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2,091</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 (income), net</w:t>
            </w: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(6,147)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1,831</w:t>
            </w:r>
          </w:p>
        </w:tc>
      </w:tr>
      <w:tr>
        <w:trPr>
          <w:trHeight w:val="237"/>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income before tax</w:t>
            </w:r>
          </w:p>
        </w:tc>
        <w:tc>
          <w:tcPr>
            <w:tcW w:w="4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86,312</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67,950</w:t>
            </w:r>
          </w:p>
        </w:tc>
      </w:tr>
      <w:tr>
        <w:trPr>
          <w:trHeight w:val="216"/>
        </w:trPr>
        <w:tc>
          <w:tcPr>
            <w:tcW w:w="4000" w:type="dxa"/>
            <w:vAlign w:val="bottom"/>
            <w:tcBorders>
              <w:top w:val="single" w:sz="8" w:color="CCEEFF"/>
            </w:tcBorders>
          </w:tcPr>
          <w:p>
            <w:pPr>
              <w:spacing w:after="0"/>
              <w:rPr>
                <w:sz w:val="18"/>
                <w:szCs w:val="18"/>
                <w:color w:val="auto"/>
              </w:rPr>
            </w:pPr>
          </w:p>
        </w:tc>
        <w:tc>
          <w:tcPr>
            <w:tcW w:w="46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9"/>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impact</w:t>
            </w:r>
          </w:p>
        </w:tc>
        <w:tc>
          <w:tcPr>
            <w:tcW w:w="4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(662)</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(1,201)</w:t>
            </w:r>
          </w:p>
        </w:tc>
      </w:tr>
      <w:tr>
        <w:trPr>
          <w:trHeight w:val="210"/>
        </w:trPr>
        <w:tc>
          <w:tcPr>
            <w:tcW w:w="400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Adjusted net income</w:t>
            </w:r>
          </w:p>
        </w:tc>
        <w:tc>
          <w:tcPr>
            <w:tcW w:w="46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85,650</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66,749</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400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Basic shares outstanding</w:t>
            </w: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84,155,367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75,712,289</w:t>
            </w:r>
          </w:p>
        </w:tc>
      </w:tr>
      <w:tr>
        <w:trPr>
          <w:trHeight w:val="216"/>
        </w:trPr>
        <w:tc>
          <w:tcPr>
            <w:tcW w:w="400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Diluted shares outstanding</w:t>
            </w:r>
          </w:p>
        </w:tc>
        <w:tc>
          <w:tcPr>
            <w:tcW w:w="4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94,177,135</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86,576,130</w:t>
            </w:r>
          </w:p>
        </w:tc>
      </w:tr>
      <w:tr>
        <w:trPr>
          <w:trHeight w:val="216"/>
        </w:trPr>
        <w:tc>
          <w:tcPr>
            <w:tcW w:w="4000" w:type="dxa"/>
            <w:vAlign w:val="bottom"/>
            <w:tcBorders>
              <w:top w:val="single" w:sz="8" w:color="CCEEFF"/>
            </w:tcBorders>
            <w:shd w:val="clear" w:color="auto" w:fill="CCEEFF"/>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Non-GAAP EPS</w:t>
            </w:r>
          </w:p>
        </w:tc>
        <w:tc>
          <w:tcPr>
            <w:tcW w:w="4800" w:type="dxa"/>
            <w:vAlign w:val="bottom"/>
            <w:gridSpan w:val="2"/>
          </w:tcPr>
          <w:p>
            <w:pPr>
              <w:ind w:left="468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1.02</w:t>
            </w: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0.88</w:t>
            </w:r>
          </w:p>
        </w:tc>
      </w:tr>
      <w:tr>
        <w:trPr>
          <w:trHeight w:val="216"/>
        </w:trPr>
        <w:tc>
          <w:tcPr>
            <w:tcW w:w="4000" w:type="dxa"/>
            <w:vAlign w:val="bottom"/>
            <w:tcBorders>
              <w:top w:val="single" w:sz="8" w:color="CCEEFF"/>
            </w:tcBorders>
            <w:shd w:val="clear" w:color="auto" w:fill="CCEEFF"/>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Non-GAAP EPS</w:t>
            </w:r>
          </w:p>
        </w:tc>
        <w:tc>
          <w:tcPr>
            <w:tcW w:w="4800" w:type="dxa"/>
            <w:vAlign w:val="bottom"/>
            <w:gridSpan w:val="2"/>
          </w:tcPr>
          <w:p>
            <w:pPr>
              <w:ind w:left="468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0.91</w:t>
            </w: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0.77</w:t>
            </w:r>
          </w:p>
        </w:tc>
      </w:tr>
      <w:tr>
        <w:trPr>
          <w:trHeight w:val="216"/>
        </w:trPr>
        <w:tc>
          <w:tcPr>
            <w:tcW w:w="4000" w:type="dxa"/>
            <w:vAlign w:val="bottom"/>
            <w:tcBorders>
              <w:top w:val="single" w:sz="8" w:color="CCEEFF"/>
            </w:tcBorders>
            <w:shd w:val="clear" w:color="auto" w:fill="CCEEFF"/>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GAAP EPS</w:t>
            </w:r>
          </w:p>
        </w:tc>
        <w:tc>
          <w:tcPr>
            <w:tcW w:w="4800" w:type="dxa"/>
            <w:vAlign w:val="bottom"/>
            <w:gridSpan w:val="2"/>
          </w:tcPr>
          <w:p>
            <w:pPr>
              <w:ind w:left="468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0.98</w:t>
            </w: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0.79</w:t>
            </w:r>
          </w:p>
        </w:tc>
      </w:tr>
      <w:tr>
        <w:trPr>
          <w:trHeight w:val="216"/>
        </w:trPr>
        <w:tc>
          <w:tcPr>
            <w:tcW w:w="4000" w:type="dxa"/>
            <w:vAlign w:val="bottom"/>
            <w:tcBorders>
              <w:top w:val="single" w:sz="8" w:color="CCEEFF"/>
            </w:tcBorders>
            <w:shd w:val="clear" w:color="auto" w:fill="CCEEFF"/>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GAAP EPS</w:t>
            </w:r>
          </w:p>
        </w:tc>
        <w:tc>
          <w:tcPr>
            <w:tcW w:w="4800" w:type="dxa"/>
            <w:vAlign w:val="bottom"/>
            <w:gridSpan w:val="2"/>
          </w:tcPr>
          <w:p>
            <w:pPr>
              <w:ind w:left="468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0.86</w:t>
            </w: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0.69</w:t>
            </w:r>
          </w:p>
        </w:tc>
      </w:tr>
      <w:tr>
        <w:trPr>
          <w:trHeight w:val="655"/>
        </w:trPr>
        <w:tc>
          <w:tcPr>
            <w:tcW w:w="400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Definitions of Certain Metrics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Adjusted EBITDA is a non-GAAP financial metric that we define as net income adjusted to exclude finance and other expenses,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taxes on income, share-based payment expense, depreciation and amortization, employee non-cash expense, one-time transaction costs and other expense.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Adjusted EBITDA Margin: </w:t>
      </w:r>
      <w:r>
        <w:rPr>
          <w:rFonts w:ascii="Times New Roman" w:cs="Times New Roman" w:eastAsia="Times New Roman" w:hAnsi="Times New Roman"/>
          <w:sz w:val="18"/>
          <w:szCs w:val="18"/>
          <w:color w:val="auto"/>
        </w:rPr>
        <w:t>Adjusted EBITDA Margin is a non-GAAP financial metric that we define as Adjusted EBITDA divided by Net Contribution.</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Adjusted Diluted Earnings Per Share (Adjusted Diluted EPS): </w:t>
      </w:r>
      <w:r>
        <w:rPr>
          <w:rFonts w:ascii="Times New Roman" w:cs="Times New Roman" w:eastAsia="Times New Roman" w:hAnsi="Times New Roman"/>
          <w:sz w:val="18"/>
          <w:szCs w:val="18"/>
          <w:color w:val="auto"/>
        </w:rPr>
        <w:t>Adjusted Diluted EPS is a non-GAAP financial metric and is calculated by dividing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Adjusted Net Income attributable to common shareholders by the diluted shares outstanding during the period. Adjusted Diluted EPS excludes the impact of the same non-recurring or non-operational items to provide investors with a normalized measure of profitability on a per-share basis.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Adjusted Net Income: </w:t>
      </w:r>
      <w:r>
        <w:rPr>
          <w:rFonts w:ascii="Times New Roman" w:cs="Times New Roman" w:eastAsia="Times New Roman" w:hAnsi="Times New Roman"/>
          <w:sz w:val="18"/>
          <w:szCs w:val="18"/>
          <w:color w:val="auto"/>
        </w:rPr>
        <w:t>Adjusted Net Income refers to a company’s net income after making adjustments for non-recurring, one-time, or non-cash items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as restructuring charges, asset impairments, acquisition-related expenses, or gains/losses from discontinued operations.</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Assets under administration (AUA): </w:t>
      </w:r>
      <w:r>
        <w:rPr>
          <w:rFonts w:ascii="Times New Roman" w:cs="Times New Roman" w:eastAsia="Times New Roman" w:hAnsi="Times New Roman"/>
          <w:sz w:val="18"/>
          <w:szCs w:val="18"/>
          <w:color w:val="auto"/>
        </w:rPr>
        <w:t>AUA reflects the aggregate fair value of assets held by users within the platform, including those held by third-party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partners for execution or custody services, categorized as follows:</w:t>
      </w:r>
    </w:p>
    <w:p>
      <w:pPr>
        <w:spacing w:after="0" w:line="159"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Crypto: Includes all cryptocurrencies and users’ crypto assets held in eToro digital wallets.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Equities: Includes stocks, ETFs, and assets managed under the Spaceship program.</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Includes customers’ uninvested cash (e.g., cash balances, eMoney balances, in-process cashouts), as well as cash used for margin or posted as collateral for leveraged positions.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Funded Accounts: </w:t>
      </w:r>
      <w:r>
        <w:rPr>
          <w:rFonts w:ascii="Times New Roman" w:cs="Times New Roman" w:eastAsia="Times New Roman" w:hAnsi="Times New Roman"/>
          <w:sz w:val="18"/>
          <w:szCs w:val="18"/>
          <w:color w:val="auto"/>
        </w:rPr>
        <w:t>Funded Accounts are users who have completed KYC, AML and other onboarding processes, activated their account, deposited funds,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at least one trade at any time and have a positive account balance (invested or uninvested). Funded Accounts represent the deepest level of our user acquisition funnel and are the users from whom we generate total commission.</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Interest Earning Assets: </w:t>
      </w:r>
      <w:r>
        <w:rPr>
          <w:rFonts w:ascii="Times New Roman" w:cs="Times New Roman" w:eastAsia="Times New Roman" w:hAnsi="Times New Roman"/>
          <w:sz w:val="18"/>
          <w:szCs w:val="18"/>
          <w:color w:val="auto"/>
        </w:rPr>
        <w:t>Interest Earning Assets are the average monthly balances of users’ cash balances, corporate cash, users’ total leveraged positions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stakeable cryptoassets.</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Invested amount per trade: </w:t>
      </w:r>
      <w:r>
        <w:rPr>
          <w:rFonts w:ascii="Times New Roman" w:cs="Times New Roman" w:eastAsia="Times New Roman" w:hAnsi="Times New Roman"/>
          <w:sz w:val="18"/>
          <w:szCs w:val="18"/>
          <w:color w:val="auto"/>
        </w:rPr>
        <w:t>The total invested amount divided by the total number of trades. For reporting purposes, we present this measure separately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capital markets (equities, commodities, and currencies) and for cryptoassets, in order to highlight trends across the two categories, given their unique characteristics.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Net Contribution: </w:t>
      </w:r>
      <w:r>
        <w:rPr>
          <w:rFonts w:ascii="Times New Roman" w:cs="Times New Roman" w:eastAsia="Times New Roman" w:hAnsi="Times New Roman"/>
          <w:sz w:val="18"/>
          <w:szCs w:val="18"/>
          <w:color w:val="auto"/>
        </w:rPr>
        <w:t>Net Contribution reflects Total revenue and income, less the Cost of revenue from cryptoassets and Margin interest expense. We 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 Contribution to evaluate the net contributions of our users’ activity on our platform before considering the overhead costs associated with our operations.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Contribution consists of the following five components, each representing revenue or income divided across our products based on the distinct patterns upon which we monetize users’ activity on the platform. We evaluate the performance of our business and our success in both diversification and risk management across these five components:</w:t>
      </w:r>
    </w:p>
    <w:p>
      <w:pPr>
        <w:spacing w:after="0" w:line="176"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Trading Contribution (Equities, Commodities and Currencies) is equal to our Net trading income from equities, commodities and currencies.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Trading Contribution (Cryptoassets) is equal to Revenue from cryptoassets plus Net trading income (loss) from cryptoasset derivatives less Cost of revenue from cryptoassets, excluding the net contributions from blockchain rewards and staking activity.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Contribution represents Net interest contribution from users plus Other interest income plus the net contributions of staking activity, less Margin interest expense.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eToro Money comprises the vast majority of our Currency conversion and other income. It represents the income earned from our money management services, including currency conversions, withdrawals, interchange on our debit card, transfers of cryptoassets, and fees relating to our cryptoasset wallet services.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Subscriptions and Other is the remainder of Currency conversion and other income not attributable to eToro Money plus the net contributions of blockchain rewards.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Net income represents the company’s total earnings or profit for a given period, calculated as total revenue minus all expenses,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operating costs, depreciation, interest, taxes, and other income or expenses. It reflects the company’s overall profitability according to GAAP standards.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Total Money Transfers: </w:t>
      </w:r>
      <w:r>
        <w:rPr>
          <w:rFonts w:ascii="Times New Roman" w:cs="Times New Roman" w:eastAsia="Times New Roman" w:hAnsi="Times New Roman"/>
          <w:sz w:val="18"/>
          <w:szCs w:val="18"/>
          <w:color w:val="auto"/>
        </w:rPr>
        <w:t>Total money transfers are the cumulative value across the respective period of user deposits, withdrawals, and cross-currency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trade funding via eToro Money IBAN.</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Trades: </w:t>
      </w:r>
      <w:r>
        <w:rPr>
          <w:rFonts w:ascii="Times New Roman" w:cs="Times New Roman" w:eastAsia="Times New Roman" w:hAnsi="Times New Roman"/>
          <w:sz w:val="18"/>
          <w:szCs w:val="18"/>
          <w:color w:val="auto"/>
        </w:rPr>
        <w:t>Trades represent the total number of orders that were placed by users and executed during the applicable period. Trades include self-directed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copy trades, and each trade reflects either the opening or closing of a position by a user.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“safe harbor” provisions of the Private Securities Litigation Reform Act of 1995, including but not limited to, statements regarding our financial outlook, market positioning development plans and growth strategy. These forward-looking statements are made as of the date they were first issued and were based on current expectations, estimates, forecasts and projections as well as the beliefs and assumptions of management. Words such as “outlook,” “guidance,” “expect,” “anticipate,” “should,” “believe,” “hope,” “target,” “project,” “plan,” “goals,” “estimate,” “potential,” “predict,” “may,” “will,” “might,” “could,” “intend,” “shall” and variations of these terms or the negative of these terms and similar expressions are intended to identify these forward-looking statements. Forward-looking statements are subject to a number of risks and uncertainties, many of which involve factors or circumstances that are beyond eToro’s control. eToro’s actual results could differ materially from those stated or implied in forward-looking statements due to a number of factors, including but not limited to market volatility and erratic market movements; failure to retain existing users or add new users; extreme competition; changes in the regulatory and legal framework under which we operate; regulatory inquiries and investigations; our estimates of our financial performance; interest rate fluctuations; the evolving cryptoasset market, including the regulations thereof; conditions related to our operations in Israel, including the ongoing war; risks related to data security and privacy and use of Open Source Software (“OSS”); risks related to artificial intelligence (“AI”); the ability to maintain the listing of our securities on Nasdaq; changes in general economic or political conditions; changes to accounting principles and guidelines; unexpected costs or expenses; and other factors described in “Risk Factors” in our Annual Report on Form 20-F for the fiscal year ended December 31, 2025, filed with the Securities and Exchange Commission (“SEC”) on March 2, 2026, as such factors may be updated from time to time in eToro’s filings with the SEC, which are, or will be, accessible on the SEC’s website at www.sec.gov.</w:t>
      </w:r>
    </w:p>
    <w:p>
      <w:pPr>
        <w:spacing w:after="0" w:line="1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Past performance is not necessarily indicative of future results. The forward-looking statements included in this press release represent eToro’s views as of the date of this press release. eToro anticipates that subsequent events and developments will cause its views to change. eToro undertakes no intention or obligation to update or revise any forward-looking statements, whether as a result of new information, future events, or otherwise. These forward-looking statements should not be relied upon as representing eToro’s views as of any date subsequent to the date of this press release.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eToro Group Ltd.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lvl w:ilvl="1">
      <w:lvlJc w:val="left"/>
      <w:lvlText w:val="●"/>
      <w:numFmt w:val="bullet"/>
      <w:start w:val="1"/>
    </w:lvl>
  </w:abstractNum>
  <w:abstractNum w:abstractNumId="1">
    <w:nsid w:val="46E87CCD"/>
    <w:multiLevelType w:val="hybridMultilevel"/>
    <w:lvl w:ilvl="0">
      <w:lvlJc w:val="left"/>
      <w:lvlText w:val="●"/>
      <w:numFmt w:val="bullet"/>
      <w:start w:val="1"/>
    </w:lvl>
    <w:lvl w:ilvl="1">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2"/>
      <w:numFmt w:val="bullet"/>
      <w:start w:val="1"/>
    </w:lvl>
  </w:abstractNum>
  <w:abstractNum w:abstractNumId="4">
    <w:nsid w:val="2EB141F2"/>
    <w:multiLevelType w:val="hybridMultilevel"/>
    <w:lvl w:ilvl="0">
      <w:lvlJc w:val="left"/>
      <w:lvlText w:val="3"/>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15" Type="http://schemas.openxmlformats.org/officeDocument/2006/relationships/hyperlink" Target="http://www.sec.gov/Archives/edgar/data/1493318/000121390025045960/ea0242347-s8_etor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2026-05-12T06:01:25Z</dcterms:created>
  <dcterms:modified xsi:type="dcterms:W3CDTF">2026-05-12T06:01:25Z</dcterms:modified>
</cp:coreProperties>
</file>