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001-42647</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10, 2025, eToro Group Ltd. (the “Company”) issued a press release titled “eToro Reports First Quarter 2025 Results.” A copy of the press release is furnished as Exhibit 99.1 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balance sheet, unaudited condensed consolidated statement of profit or loss and other comprehensive income (loss), unaudited condensed consolidated statement of cash flows and unaudited reconciliation of non-GAAP metrics contained in the press release attached as Exhibit 99.1 to this report on Form 6-K are hereby incorporated by reference into the Company’s registration statement on </w:t>
      </w:r>
      <w:hyperlink r:id="rId1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333-287430) (including any prospectuses forming a part of such registration statement), to be a part thereof from the date on which this report is submitted, to the extent not superseded by documents or reports subsequently filed or furnished.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10, 2025 titled “eToro Reports First Quarter 2025 Results”</w:t>
            </w: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60" w:type="dxa"/>
            <w:vAlign w:val="bottom"/>
            <w:tcBorders>
              <w:top w:val="single" w:sz="8" w:color="0000EE"/>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4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19685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 w:val="left"/>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w:t>
        <w:tab/>
        <w:t>June 10, 2025</w:t>
      </w:r>
      <w:r>
        <w:rPr>
          <w:sz w:val="20"/>
          <w:szCs w:val="20"/>
          <w:color w:val="auto"/>
        </w:rPr>
        <w:tab/>
      </w:r>
      <w:r>
        <w:rPr>
          <w:rFonts w:ascii="Times New Roman" w:cs="Times New Roman" w:eastAsia="Times New Roman" w:hAnsi="Times New Roman"/>
          <w:sz w:val="18"/>
          <w:szCs w:val="18"/>
          <w:color w:val="auto"/>
        </w:rPr>
        <w:t>By:</w:t>
        <w:tab/>
        <w:t>/s/ Jonathan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10712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Jonathan Alexander Assia</w:t>
      </w:r>
    </w:p>
    <w:p>
      <w:pPr>
        <w:spacing w:after="0" w:line="27"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REPORTS FIRST QUARTER 2025 RESULTS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 June 10th, 2025 - </w:t>
      </w:r>
      <w:r>
        <w:rPr>
          <w:rFonts w:ascii="Times New Roman" w:cs="Times New Roman" w:eastAsia="Times New Roman" w:hAnsi="Times New Roman"/>
          <w:sz w:val="18"/>
          <w:szCs w:val="18"/>
          <w:color w:val="auto"/>
        </w:rPr>
        <w:t>eToro Group Ltd. (“eToro”, or the “Company”) (NASDAQ: ETOR), the trading and investing platform,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ended March 31, 2025.</w:t>
      </w:r>
    </w:p>
    <w:p>
      <w:pPr>
        <w:spacing w:after="0" w:line="15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 am incredibly proud of the eToro team for producing strong first quarter results and the successful completion of our initial public listing. As a business that champions access to capital markets, we are excited to now be part of those markets. The retail investor of 2025 is informed and connected and we’re encouraged to see their trading behavior enabling them to benefit from market opportunities. We believe that AI is turbo-charging the reshaping of the investing landscape and we’re excited to be at the forefront of this transformation. As a global community that empowers retail investors, we are well positioned to drive sustainable growth and profitability over time, creating further value for our shareholders,” </w:t>
      </w:r>
      <w:r>
        <w:rPr>
          <w:rFonts w:ascii="Times New Roman" w:cs="Times New Roman" w:eastAsia="Times New Roman" w:hAnsi="Times New Roman"/>
          <w:sz w:val="18"/>
          <w:szCs w:val="18"/>
          <w:color w:val="auto"/>
        </w:rPr>
        <w:t>commented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Yoni Assia, CEO and Co-founder of eToro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p>
    <w:p>
      <w:pPr>
        <w:spacing w:after="0" w:line="225" w:lineRule="exact"/>
        <w:rPr>
          <w:sz w:val="20"/>
          <w:szCs w:val="20"/>
          <w:color w:val="auto"/>
        </w:rPr>
      </w:pPr>
    </w:p>
    <w:p>
      <w:pPr>
        <w:ind w:left="660" w:right="600" w:hanging="328"/>
        <w:spacing w:after="0" w:line="26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increased by 8% year on year to $217 million, compared to $201 million in the first quarter of 2024, driven primarily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trading activity.</w:t>
      </w:r>
    </w:p>
    <w:p>
      <w:pPr>
        <w:ind w:left="660" w:right="1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(GAAP) </w:t>
      </w:r>
      <w:r>
        <w:rPr>
          <w:rFonts w:ascii="Times New Roman" w:cs="Times New Roman" w:eastAsia="Times New Roman" w:hAnsi="Times New Roman"/>
          <w:sz w:val="18"/>
          <w:szCs w:val="18"/>
          <w:color w:val="auto"/>
        </w:rPr>
        <w:t>was $60 million, compared to $64 million in the first quarter of 2024 due to increased investment in marketing and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response to favorable market conditions.</w:t>
      </w:r>
    </w:p>
    <w:p>
      <w:pPr>
        <w:ind w:left="660" w:right="640" w:hanging="328"/>
        <w:spacing w:after="0" w:line="21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was $80 million compared to $87 million in the first quarter of the prior year reflecting the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referenced above. Adjusted EBITDA margin was 37%, compared to 43% in the prior year period.</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60" w:right="160" w:hanging="328"/>
        <w:spacing w:after="0" w:line="24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increased 14% year on year to 3.58 million compared to 3.13 million in the first quarter of 2024. This was driven primarily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ongoing user acquisition and retention efforts, as well as the acquisition of Australian investing app Spaceship in 2024.</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w:t>
      </w:r>
      <w:r>
        <w:rPr>
          <w:rFonts w:ascii="Times New Roman" w:cs="Times New Roman" w:eastAsia="Times New Roman" w:hAnsi="Times New Roman"/>
          <w:sz w:val="18"/>
          <w:szCs w:val="18"/>
          <w:color w:val="auto"/>
        </w:rPr>
        <w:t>grew by 21% year on year to $14.8 billion compared to $12.2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short term investments </w:t>
      </w:r>
      <w:r>
        <w:rPr>
          <w:rFonts w:ascii="Times New Roman" w:cs="Times New Roman" w:eastAsia="Times New Roman" w:hAnsi="Times New Roman"/>
          <w:sz w:val="18"/>
          <w:szCs w:val="18"/>
          <w:color w:val="auto"/>
        </w:rPr>
        <w:t>were $736 million as of March 31, 2025.</w:t>
      </w:r>
    </w:p>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results show strong business performance for Q1 with an increase in net contribution driven by increased trading activity and our continued focus on sustainable profitable growth. In the first quarter, in response to the market environment, we increased investment in marketing and growth,”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Meron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Shani, eToro CFO</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 continued to focus on sustainable, profitable growth in Q1, launching products and services to support users at every stage of their investing journey.</w:t>
      </w:r>
    </w:p>
    <w:p>
      <w:pPr>
        <w:spacing w:after="0" w:line="221" w:lineRule="exact"/>
        <w:rPr>
          <w:sz w:val="20"/>
          <w:szCs w:val="20"/>
          <w:color w:val="auto"/>
        </w:rPr>
      </w:pPr>
    </w:p>
    <w:p>
      <w:pPr>
        <w:jc w:val="both"/>
        <w:ind w:left="660" w:right="280" w:hanging="328"/>
        <w:spacing w:after="0" w:line="268"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w:t>
      </w:r>
      <w:r>
        <w:rPr>
          <w:rFonts w:ascii="Times New Roman" w:cs="Times New Roman" w:eastAsia="Times New Roman" w:hAnsi="Times New Roman"/>
          <w:sz w:val="18"/>
          <w:szCs w:val="18"/>
          <w:color w:val="auto"/>
        </w:rPr>
        <w:t>eToro continues to expand and develop the range of assets and tools users need to trade the global markets. In the first quarter, eToro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launched futures in Europe and options in the UK. With the addition of 40 more tokens, eToro now offers trading in over 130 cryptoassets. The Company also extended trading hours by offering a number of stocks and ETFs for 24/5 trading.</w:t>
      </w:r>
    </w:p>
    <w:p>
      <w:pPr>
        <w:spacing w:after="0" w:line="17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Investing: </w:t>
      </w:r>
      <w:r>
        <w:rPr>
          <w:rFonts w:ascii="Times New Roman" w:cs="Times New Roman" w:eastAsia="Times New Roman" w:hAnsi="Times New Roman"/>
          <w:sz w:val="17"/>
          <w:szCs w:val="17"/>
          <w:color w:val="auto"/>
        </w:rPr>
        <w:t>eToro added stocks from the Abu Dhabi and Hong Kong stock exchanges and now offers users the ability to invest in companies listed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more than 20 of the world’s leading exchanges. It continued to grow its range of Smart Portfolios with the launch of a commodities portfolio in partnership with WisdomTree, and a portfolio offering 100% capital protection. As part of the Company’s commitment to offer its users access to interest earning assets, eToro launched securities lending to users in Europe, and expanded crypto staking to include DOT and ATOM.</w:t>
      </w:r>
    </w:p>
    <w:p>
      <w:pPr>
        <w:spacing w:after="0" w:line="205" w:lineRule="exact"/>
        <w:rPr>
          <w:rFonts w:ascii="Times New Roman" w:cs="Times New Roman" w:eastAsia="Times New Roman" w:hAnsi="Times New Roman"/>
          <w:sz w:val="17"/>
          <w:szCs w:val="17"/>
          <w:color w:val="auto"/>
        </w:rPr>
      </w:pPr>
    </w:p>
    <w:p>
      <w:pPr>
        <w:ind w:left="340" w:right="420" w:hanging="324"/>
        <w:spacing w:after="0" w:line="1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“Non-GAAP Financial Metrics and Key Performance Indicators” below for additional information and a reconciliation to GAAP for all Non-GAAP financial metrics. Adjusted EBITDA margin is based on net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w:t>
      </w:r>
      <w:r>
        <w:rPr>
          <w:rFonts w:ascii="Times New Roman" w:cs="Times New Roman" w:eastAsia="Times New Roman" w:hAnsi="Times New Roman"/>
          <w:sz w:val="18"/>
          <w:szCs w:val="18"/>
          <w:color w:val="auto"/>
        </w:rPr>
        <w:t>As part of its long-term investment strategy, in the first quarter, eToro introduced a new self-directed offering as part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UK ISA and introduced recurring investments for stocks, ETFs and crypto allowing users to make regularly scheduled investments. The Company also initiated the integration of Spaceship and the expansion of its Australian offering to include superannuation solutions.</w:t>
      </w:r>
    </w:p>
    <w:p>
      <w:pPr>
        <w:spacing w:after="0" w:line="170"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Neo-banking: </w:t>
      </w:r>
      <w:r>
        <w:rPr>
          <w:rFonts w:ascii="Times New Roman" w:cs="Times New Roman" w:eastAsia="Times New Roman" w:hAnsi="Times New Roman"/>
          <w:sz w:val="18"/>
          <w:szCs w:val="18"/>
          <w:color w:val="auto"/>
        </w:rPr>
        <w:t>In the first quarter, eToro began the roll out of crypto to fiat enabling users to transfer their crypto to eToro and diversify into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classes. As part of the expansion of the eToro Money offering, eToro partnered with local financial institutions to offer local virtual bank accounts in multiple countries. The Company also continued to expand the ability for users to trade local stocks using local currencies.</w:t>
      </w:r>
    </w:p>
    <w:p>
      <w:pPr>
        <w:spacing w:after="0" w:line="170" w:lineRule="exact"/>
        <w:rPr>
          <w:rFonts w:ascii="Times New Roman" w:cs="Times New Roman" w:eastAsia="Times New Roman" w:hAnsi="Times New Roman"/>
          <w:sz w:val="18"/>
          <w:szCs w:val="18"/>
          <w:color w:val="auto"/>
        </w:rPr>
      </w:pPr>
    </w:p>
    <w:p>
      <w:pPr>
        <w:jc w:val="both"/>
        <w:ind w:left="660" w:right="5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education and AI: </w:t>
      </w:r>
      <w:r>
        <w:rPr>
          <w:rFonts w:ascii="Times New Roman" w:cs="Times New Roman" w:eastAsia="Times New Roman" w:hAnsi="Times New Roman"/>
          <w:sz w:val="18"/>
          <w:szCs w:val="18"/>
          <w:color w:val="auto"/>
        </w:rPr>
        <w:t>eToro is committed to empowering its users to grow their financial knowledge with accessible and engaging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The Company is leveraging AI to accelerate the production and translation of education materials and now offers more than 3,000 articles, videos, podcasts and webinars in 11 languages.</w:t>
      </w:r>
    </w:p>
    <w:p>
      <w:pPr>
        <w:spacing w:after="0" w:line="17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developments: </w:t>
      </w:r>
      <w:r>
        <w:rPr>
          <w:rFonts w:ascii="Times New Roman" w:cs="Times New Roman" w:eastAsia="Times New Roman" w:hAnsi="Times New Roman"/>
          <w:sz w:val="18"/>
          <w:szCs w:val="18"/>
          <w:color w:val="auto"/>
        </w:rPr>
        <w:t>In Q1, eToro was granted a MiCA permit by CySec which enables the provision of crypto services across the EU.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supporters of crypto, this is a key milestone and eToro welcomes the regulatory clarity and uniform rules provided by MiCA which it believes will foster greater crypto adoption across Europe. The Company also achieved a SOC 2 Type II compliance certification which demonstrates its strong commitment to operational excellence throughout its crypto custody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Update</w:t>
      </w:r>
    </w:p>
    <w:p>
      <w:pPr>
        <w:spacing w:after="0" w:line="229" w:lineRule="exact"/>
        <w:rPr>
          <w:sz w:val="20"/>
          <w:szCs w:val="20"/>
          <w:color w:val="auto"/>
        </w:rPr>
      </w:pPr>
    </w:p>
    <w:p>
      <w:pPr>
        <w:ind w:left="660" w:right="24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business through May 31, 2025 reflects continued progress and interest in trading and investing from retail investors in response to market events.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31, 2025 eToro had 3.61 million funded accounts and $16.9 billion in Assets under Administration.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 pr@etoro.com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investors@etoro.com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eToro</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eToro is the trading and investing platform that empowers you to invest, share and learn. We were founded in 2007 with the vision of a world where everyone can trade and invest in a simple and transparent way. Today we have 40 million registered users from 75 countries. We believe there is power in shared knowledge and that we can become more successful by investing together. So we’ve created a collaborative investment community designed to provide you with the tools you need to grow your knowledge and wealth. On eToro, you can hold a range of traditional and innovative assets and choose how you invest: trade directly, invest in a portfolio, or copy other investors. You can visit our media center here for our latest news.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4840" w:type="dxa"/>
            <w:vAlign w:val="bottom"/>
          </w:tcPr>
          <w:p>
            <w:pPr>
              <w:spacing w:after="0"/>
              <w:rPr>
                <w:sz w:val="22"/>
                <w:szCs w:val="22"/>
                <w:color w:val="auto"/>
              </w:rPr>
            </w:pPr>
          </w:p>
        </w:tc>
        <w:tc>
          <w:tcPr>
            <w:tcW w:w="4960" w:type="dxa"/>
            <w:vAlign w:val="bottom"/>
            <w:gridSpan w:val="2"/>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r>
      <w:tr>
        <w:trPr>
          <w:trHeight w:val="223"/>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r>
      <w:tr>
        <w:trPr>
          <w:trHeight w:val="194"/>
        </w:trPr>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660,060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575,395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240,842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224,867</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113,279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omnibus accounts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10,905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50,466</w:t>
            </w:r>
          </w:p>
        </w:tc>
      </w:tr>
      <w:tr>
        <w:trPr>
          <w:trHeight w:val="24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46,005</w:t>
            </w: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1,137,682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1,075,326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43,054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44,406</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45,564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46,346</w:t>
            </w:r>
          </w:p>
        </w:tc>
      </w:tr>
      <w:tr>
        <w:trPr>
          <w:trHeight w:val="24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w:t>
            </w: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118,042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116,036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1,255,724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1,191,362</w:t>
            </w:r>
          </w:p>
        </w:tc>
      </w:tr>
      <w:tr>
        <w:trPr>
          <w:trHeight w:val="216"/>
        </w:trPr>
        <w:tc>
          <w:tcPr>
            <w:tcW w:w="484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equities</w:t>
            </w: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lease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115,290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103,493</w:t>
            </w: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176,718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193,115</w:t>
            </w: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302,716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305,567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liabilities, net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42,447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43,546</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5,653</w:t>
            </w: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company:</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premium</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479,036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474,469</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premium</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397,019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397,019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5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Investment Agreement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5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(47,447)</w:t>
            </w: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894,665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832,375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1,255,724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1,191,362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2"/>
        </w:trPr>
        <w:tc>
          <w:tcPr>
            <w:tcW w:w="48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PROFIT OR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and income: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73,098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3,500,800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3,293,120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(loss) from cryptoassets derivatives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77,051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3,755,381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3,528,853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3,173,766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56,042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3,684,840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3,309,894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73,626</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59,952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64,110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reclassified subsequently to profit or loss: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year, net of tax</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57,723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common shares used to compute net income per share attributable to common</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75,712,289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75,040,326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86,576,130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84,239,189</w:t>
            </w:r>
          </w:p>
        </w:tc>
      </w:tr>
      <w:tr>
        <w:trPr>
          <w:trHeight w:val="637"/>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59,952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64,110</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profit or loss items: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4,287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of contingent liability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fair value of cryptoassets and counterparties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51,830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revenue from staking and blockchain rewards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costs from staking and blockchain rewards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5,847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928</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9,516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counterparties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(68,235)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cryptoassets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13,154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other receivables and prepaid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(7,029)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of restricted cash</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accounts payable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13,043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of user and omnibus accounts,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48,901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accrued expenses and other payables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(19,753)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11,677</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employee benefit liabilities, net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received (paid), net during the year</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during the year</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89,732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50,883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short-term investments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liability</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differences on balances of 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7,379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84,665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44,894</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575,395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388,334</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660,060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433,228</w:t>
            </w:r>
          </w:p>
        </w:tc>
      </w:tr>
      <w:tr>
        <w:trPr>
          <w:trHeight w:val="642"/>
        </w:trPr>
        <w:tc>
          <w:tcPr>
            <w:tcW w:w="8680" w:type="dxa"/>
            <w:vAlign w:val="bottom"/>
            <w:tcBorders>
              <w:top w:val="single" w:sz="8" w:color="CCEEFF"/>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Non-GAAP Financial Metrics and Key Performance Indicators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This press release and the accompanying tables contain certain non-GAAP financial metrics which differ from results prepared in accordance with GAAP. These non-GAAP financial metrics include: Adjusted EBITDA, which is defined as net income (loss) adjusted to exclude finance and other expenses, net, taxes on income, share-based payment expense, depreciation and amortization, employee non-cash expense, one-time transaction costs and other expense (income).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eToro believes that these non-GAAP financial metrics may be helpful to investors because they provide consistency and comparability with past financial performance. Additionally, eToro management regularly review certain key performance metrics and non-GAAP financial metrics to evaluate its business, measure its performance, identify trends, prepare financial projections and make business decisions. However, non-GAAP financial metrics are presented for supplemental informational purposes only, have limitations as an analytical tool, and should not be considered in isolation or as a substitute for financial information presented in accordance with GAAP. Other companies, including companies in eToro’s industry, may calculate similarly titled non-GAAP financial metrics differently or may use other measures to evaluate their performance, all of which could reduce the usefulness of these non-GAAP financial metrics as tools for comparison. A reconciliation is provided below for the non-GAAP financial metrics to the most directly comparable financial metric stated in accordance with GAAP.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59,952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64,110</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Finance expense, net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928</w:t>
            </w: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 payment expense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Employee non-cash expense</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2"/>
                <w:szCs w:val="22"/>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Transaction related costs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22"/>
                <w:szCs w:val="22"/>
                <w:color w:val="auto"/>
              </w:rPr>
            </w:pP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Evaluation of contingent liability</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80,194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86,877</w:t>
            </w:r>
          </w:p>
        </w:tc>
        <w:tc>
          <w:tcPr>
            <w:tcW w:w="80" w:type="dxa"/>
            <w:vAlign w:val="bottom"/>
          </w:tcPr>
          <w:p>
            <w:pPr>
              <w:spacing w:after="0"/>
              <w:rPr>
                <w:sz w:val="19"/>
                <w:szCs w:val="19"/>
                <w:color w:val="auto"/>
              </w:rPr>
            </w:pPr>
          </w:p>
        </w:tc>
      </w:tr>
      <w:tr>
        <w:trPr>
          <w:trHeight w:val="27"/>
        </w:trPr>
        <w:tc>
          <w:tcPr>
            <w:tcW w:w="8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12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Employee non-cash expense is related to payroll expenses recorded in respect of the non-withdrawable amount (“NWA”) over the employee’s vesting period.</w:t>
      </w:r>
    </w:p>
    <w:p>
      <w:pPr>
        <w:ind w:left="340" w:hanging="332"/>
        <w:spacing w:after="0" w:line="181"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Transaction related costs include transaction costs associated with the initial public offering.</w:t>
      </w:r>
    </w:p>
    <w:p>
      <w:pPr>
        <w:spacing w:after="0" w:line="2" w:lineRule="exact"/>
        <w:rPr>
          <w:sz w:val="20"/>
          <w:szCs w:val="20"/>
          <w:color w:val="auto"/>
        </w:rPr>
      </w:pPr>
    </w:p>
    <w:p>
      <w:pPr>
        <w:ind w:left="340" w:hanging="332"/>
        <w:spacing w:after="0" w:line="187"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Evaluation of contingent liability is related to the commitment to issue shares as part of the Spaceship acquisition. Due to an increase in the share price, an evaluation was performed.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Definitions of Certain Key Performance Indicators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is a non-GAAP financial metric that we define as net income (loss) adjusted to exclude finance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net, taxes on income, share-based payment expense, depreciation and amortization, employee non-cash expense, one-time transaction costs and other expense (income).</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Assets under administration: </w:t>
      </w:r>
      <w:r>
        <w:rPr>
          <w:rFonts w:ascii="Times New Roman" w:cs="Times New Roman" w:eastAsia="Times New Roman" w:hAnsi="Times New Roman"/>
          <w:sz w:val="18"/>
          <w:szCs w:val="18"/>
          <w:color w:val="auto"/>
        </w:rPr>
        <w:t>Assets under administration (‘AUA’) are defined as the aggregate of the following: (i) the total fair value of all equities,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cryptoassets, commodities, currencies and options held by users in their accounts, (ii) cash held by users in their accounts, (iii) eToro Money balances, (iv) users’ cryptoassets held in the eToro digital wallet, (v) users’ assets held by 3rd parties partners for execution or custody services.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Funded Accounts are users who have completed KYC, AML and other onboarding processes, activated their account, deposited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at least one trade at any time and have a positive account balance (invested or uninvested). Funded Accounts represent the deepest level of our user acquisition funnel and are the users from whom we generate Total Commission.</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Earning Assets: </w:t>
      </w:r>
      <w:r>
        <w:rPr>
          <w:rFonts w:ascii="Times New Roman" w:cs="Times New Roman" w:eastAsia="Times New Roman" w:hAnsi="Times New Roman"/>
          <w:sz w:val="18"/>
          <w:szCs w:val="18"/>
          <w:color w:val="auto"/>
        </w:rPr>
        <w:t>Interest Earning Assets are the average monthly balances of users’ cash balances, corporate cash, users’ total leveraged positions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stakeable cryptoassets.</w:t>
      </w:r>
    </w:p>
    <w:p>
      <w:pPr>
        <w:spacing w:after="0" w:line="15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Net Contribution reflects Total revenue and income, less the Cost of revenue from cryptoassets and Margin interest expense. We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Contribution to evaluate the net contributions of our users’ activity on our platform before considering the overhead costs associated with our operations.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Contribution consists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(Equities, Commodities and Currencies) is equal to our Net trading income from equities, commodities and currencies.</w:t>
      </w:r>
    </w:p>
    <w:p>
      <w:pPr>
        <w:spacing w:after="0" w:line="27"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(Cryptoassets) is equal to Revenue from cryptoassets plus Net trading income (loss) from cryptoasset derivatives less Cost of revenue from cryptoassets, excluding the net contributions from blockchain rewards and staking activity.</w:t>
      </w:r>
    </w:p>
    <w:p>
      <w:pPr>
        <w:ind w:left="660" w:right="1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Contribution represents Net interest contribution from users plus Other interest income plus the net contributions of staking activity, less Margin interest expense.</w:t>
      </w:r>
    </w:p>
    <w:p>
      <w:pPr>
        <w:ind w:left="660" w:right="20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p>
      <w:pPr>
        <w:spacing w:after="0" w:line="1" w:lineRule="exact"/>
        <w:rPr>
          <w:rFonts w:ascii="Times New Roman" w:cs="Times New Roman" w:eastAsia="Times New Roman" w:hAnsi="Times New Roman"/>
          <w:sz w:val="18"/>
          <w:szCs w:val="18"/>
          <w:color w:val="auto"/>
        </w:rPr>
      </w:pPr>
    </w:p>
    <w:p>
      <w:pPr>
        <w:ind w:left="660" w:right="1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and Other is the remainder of Currency conversion and other income not attributable to eToro Money plus the net contributions of blockchain rewards.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income represents the company’s total earnings or profit for a given period, calculated as total revenue minus all expenses, including operating costs, depreciation, interest, taxes, and other income or expenses. It reflects the company’s overall profitability according to GAAP standards.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regarding our financial outlook and market positioning.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adding new users; extreme competition; changes in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OSS; risks related to AI; changes in general economic or political conditions; changes to accounting principles and guidelines; the ability to maintain the listing of our securities on Nasdaq; unexpected costs or expenses; and other factors described in “Risk Factors” in our Registration Statement on Form F-1, filed with the SEC on March 24, 2025, as amended, and declared effective by the SEC on May 13, 2025. Further information on potential risks that could affect actual results will be included in the subsequent filings that eToro makes with SEC from time to time.</w:t>
      </w:r>
    </w:p>
    <w:p>
      <w:pPr>
        <w:spacing w:after="0" w:line="1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eToro Group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5" Type="http://schemas.openxmlformats.org/officeDocument/2006/relationships/hyperlink" Target="https://www.sec.gov/Archives/edgar/data/1493318/000121390025045960/ea0242347-s8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2025-06-10T06:07:15Z</dcterms:created>
  <dcterms:modified xsi:type="dcterms:W3CDTF">2025-06-10T06:07:15Z</dcterms:modified>
</cp:coreProperties>
</file>