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eToro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Alexa Lyons</w:t>
              <w:br/>
              <w:t>Chief Financial Officer, 200 Clarendon Street, Floor 59</w:t>
              <w:br/>
              <w:t>Boston, MA, 02116</w:t>
              <w:br/>
              <w:t>617-830-2000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Spark Capital 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Spark Capital Founders' Fund 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Spark Management Partners II,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Spark Capital Partners,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Santo Politi</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2,107.00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2,107.00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2,107.00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66,806,610 Class A Common Shares outstanding as of April 15, 2026, reported by the Issuer in Exhibit 99.1 to its Report on Form 6-K filed with the Securities and Exchange Commission on April 21,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eToro Group Ltd.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Sheshet Hayamim St., Bnei Brak, ISRAEL , 5120261.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Amendment No. 4 (this Amendment) amends and supplements the Schedule 13D originally filed by the Reporting Persons with the SEC on May 21, 2025 and amended by that Amendment No. 1 filed by the Reporting Persons with the SEC on November 13, 2025, by the Amendment No. 2 filed by the Reporting Persons with the SEC on February 26, 2026 and by the Amendment No. 3 filed by the Reporting Persons with the SEC on May 15, 2026 (collectively,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w:t>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This Statement is being filed by Spark Capital II, L.P. (SC II), Spark Capital Founders' Fund II, L.P. (SCFF II), Spark Management Partners II, LLC (SMP II GP), Spark Capital Partners, LLC (SCP, and together with SC II, SCFF II, SMP II GP, the Reporting Entities) and Santo Politi (the Reporting Individual), a member of the Issuer's board of directors. The Reporting Entities and Reporting Individual are collectively referred to as the Reporting Persons. The agreement among the Reporting Persons to file jointly in accordance with the provisions of Rule 13d-1(k)(1) under the Act is attached to the Original Schedule 13D and incorporated herein by reference. Each Reporting Person disclaims beneficial ownership of all securities reported in this Statement except to the extent of such Reporting Person's pecuniary interest therein, if any, other than those securities reported herein as being held directly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The information set forth in Item 2(b) of the Original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 xml:space="preserve">The information set forth in Item 2(c) of the Original 13D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 xml:space="preserve">The information set forth in Item 2(d) of the Original 13D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 xml:space="preserve">The information set forth in Item 2(e) of the Original 13D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0"/>
              <w:jc w:val="left"/>
              <w:rPr/>
            </w:pPr>
            <w:r>
              <w:rPr/>
              <w:t xml:space="preserve">The information set forth in Item 2(f) of the Original 13D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The information set forth in Item 3 of the Original 13D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The information set forth in Item 4 of the Original 13D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See Items 7-11 of the cover pages of this Amendment No. 4. The information reported on such cover pages is reported as of August 12, 2026.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See Items 7-11 of the cover pages of this Amendment No. 4. The information reported on such cover pages is reported as of August 12, 2026.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On August 12, 2026, SC II effected a pro rata distribution without additional consideration of 3,559,007 shares of Class A Common Shares to SMP II GP and its limited partners. On August 12, 2026, SCFF II effected a pro rata distribution without additional consideration of 23,280 shares of Class A Common Shares to SMP II GP and its limited partners. On August 12, 2026, SMP II GP effected a pro rata distribution without additional consideration of the shares that it received in connection with such distributions from SC II and SCFF II to its members, including SCP. On August 12, 2026, as a result of the pro rata distribution described in the immediately preceding sentence, SCP became the holder of record of 5,783 shares of Class A Common Shares. On August 12, 2026, SCP sold 5,783 shares of Class A Common Shares at a weighted average price of $28.01 for aggregate proceeds of $162,000.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 xml:space="preserve">The information set forth in Item 5(d) of the Original 13D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August 12, 2026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The information set forth in Item 6 of the Original 13D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Spark Capital II, L.P.</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Alexa Lyons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Alexa Lyons,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Spark Capital Founders' Fund II, L.P.</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Alexa Lyons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Alexa Lyons,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Spark Management Partners II, LLC</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Alexa Lyons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Alexa Lyons,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Spark Capital Partners,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Alexa Lyons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Alexa Lyons,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2756" w:type="dxa"/>
        <w:jc w:val="left"/>
        <w:tblInd w:w="0" w:type="dxa"/>
        <w:tblLayout w:type="fixed"/>
        <w:tblCellMar>
          <w:top w:w="28" w:type="dxa"/>
          <w:left w:w="28" w:type="dxa"/>
          <w:bottom w:w="28" w:type="dxa"/>
          <w:right w:w="28" w:type="dxa"/>
        </w:tblCellMar>
      </w:tblPr>
      <w:tblGrid>
        <w:gridCol w:w="1378"/>
        <w:gridCol w:w="1378"/>
      </w:tblGrid>
      <w:tr>
        <w:trPr/>
        <w:tc>
          <w:tcPr>
            <w:tcW w:w="1378" w:type="dxa"/>
            <w:tcBorders/>
            <w:vAlign w:val="center"/>
          </w:tcPr>
          <w:p>
            <w:pPr>
              <w:pStyle w:val="TableContents"/>
              <w:bidi w:val="0"/>
              <w:spacing w:before="0" w:after="0"/>
              <w:jc w:val="left"/>
              <w:rPr/>
            </w:pPr>
            <w:r>
              <w:rPr/>
              <w:t>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0"/>
                    <w:jc w:val="left"/>
                    <w:rPr/>
                  </w:pPr>
                  <w:r>
                    <w:rPr/>
                    <w:t>Santo Politi</w:t>
                  </w:r>
                </w:p>
              </w:tc>
            </w:tr>
          </w:tbl>
          <w:p>
            <w:pPr>
              <w:pStyle w:val="TableContents"/>
              <w:bidi w:val="0"/>
              <w:spacing w:before="0" w:after="283"/>
              <w:jc w:val="left"/>
              <w:rPr/>
            </w:pPr>
            <w:r>
              <w:rPr/>
            </w:r>
          </w:p>
        </w:tc>
        <w:tc>
          <w:tcPr>
            <w:tcW w:w="1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Alexa Lyons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 for Santo Politi</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8221" w:type="dxa"/>
        <w:jc w:val="left"/>
        <w:tblInd w:w="0" w:type="dxa"/>
        <w:tblLayout w:type="fixed"/>
        <w:tblCellMar>
          <w:top w:w="28" w:type="dxa"/>
          <w:left w:w="28" w:type="dxa"/>
          <w:bottom w:w="28" w:type="dxa"/>
          <w:right w:w="28" w:type="dxa"/>
        </w:tblCellMar>
      </w:tblPr>
      <w:tblGrid>
        <w:gridCol w:w="8221"/>
      </w:tblGrid>
      <w:tr>
        <w:trPr/>
        <w:tc>
          <w:tcPr>
            <w:tcW w:w="8221"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Signed pursuant to a Power of Attorney already on file with the appropriate agencies.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1770</Words>
  <Characters>8910</Characters>
  <CharactersWithSpaces>10535</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