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-628015</wp:posOffset>
            </wp:positionV>
            <wp:extent cx="58420" cy="64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746760</wp:posOffset>
            </wp:positionV>
            <wp:extent cx="7045960" cy="7387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38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8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 Hedva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SHESHET HAYAMIM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eToro Group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ETOR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20" w:firstLine="2"/>
        <w:spacing w:after="0" w:line="25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Global COO &amp; Deputy CEO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90" w:orient="portrait"/>
          <w:cols w:equalWidth="0" w:num="3">
            <w:col w:w="3200" w:space="720"/>
            <w:col w:w="3102" w:space="720"/>
            <w:col w:w="3338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BNEI BRAK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5120261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ind w:left="38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20,660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26,660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49,160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55,160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55,160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41.9028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20,660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05/13/2031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6,000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08/01/2023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07/25/2032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05/13/2031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6,000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08/01/2023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07/25/2032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5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shares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exercise of options to acquire Class A Common shares, followed by the immediate sale of such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exercise of options to acquire Class B shares, which upon exercise convert into Class A common shares, followed by the immediate sale of such shares.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effectuated pursuant to a Rule 10b5-1 trading plan adopted by the Reporting Person on September 2, 2025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sold were acquired upon the exercise of stock options on the same date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 reporting person undertakes to provide full information, regarding the number of shares and prices at which the transaction was effectuated, upon request.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exercise of options to acquire Class A Common shares, followed by the immediate sale of such shares as reported in Table I.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exercise of options to acquire Class B shares, which upon exercise convert into Class A common shares, followed by the immediate sale of such shares as reported in Table I.</w:t>
      </w:r>
    </w:p>
    <w:p>
      <w:pPr>
        <w:sectPr>
          <w:pgSz w:w="11900" w:h="16890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Meirav Shemesh on behalf</w:t>
        <w:tab/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-8890</wp:posOffset>
            </wp:positionV>
            <wp:extent cx="1883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3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Oppenheimer Israel,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102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90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-8890</wp:posOffset>
            </wp:positionV>
            <wp:extent cx="694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right="2479" w:firstLine="2"/>
        <w:spacing w:after="0" w:line="337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81054" TargetMode="External"/><Relationship Id="rId14" Type="http://schemas.openxmlformats.org/officeDocument/2006/relationships/hyperlink" Target="http://www.sec.gov/cgi-bin/browse-edgar?action=getcompany&amp;CIK=0001493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2026-06-02T11:13:12Z</dcterms:created>
  <dcterms:modified xsi:type="dcterms:W3CDTF">2026-06-02T11:13:12Z</dcterms:modified>
</cp:coreProperties>
</file>