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510-6k_etoro.htm"/>
      <w:bookmarkStart w:id="1" w:name="ksea03015106k_etor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Rule 13</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-16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-16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001-42647</w:t>
      </w:r>
    </w:p>
    <w:p>
      <w:pPr>
        <w:pStyle w:val="TextBody"/>
        <w:bidi w:val="0"/>
        <w:spacing w:before="0" w:after="0"/>
        <w:ind w:left="0" w:right="0" w:hanging="0"/>
        <w:jc w:val="left"/>
        <w:rPr>
          <w:caps w:val="false"/>
          <w:smallCaps w:val="false"/>
        </w:rPr>
      </w:pPr>
      <w:r>
        <w:rPr>
          <w:caps w:val="false"/>
          <w:smallCaps w:val="false"/>
        </w:rPr>
        <w:t> </w:t>
      </w:r>
    </w:p>
    <w:tbl>
      <w:tblPr>
        <w:tblW w:w="3785" w:type="dxa"/>
        <w:jc w:val="left"/>
        <w:tblInd w:w="0" w:type="dxa"/>
        <w:tblLayout w:type="fixed"/>
        <w:tblCellMar>
          <w:top w:w="0" w:type="dxa"/>
          <w:left w:w="0" w:type="dxa"/>
          <w:bottom w:w="28" w:type="dxa"/>
          <w:right w:w="0" w:type="dxa"/>
        </w:tblCellMar>
      </w:tblPr>
      <w:tblGrid>
        <w:gridCol w:w="3785"/>
      </w:tblGrid>
      <w:tr>
        <w:trPr/>
        <w:tc>
          <w:tcPr>
            <w:tcW w:w="3785" w:type="dxa"/>
            <w:tcBorders>
              <w:bottom w:val="single" w:sz="12" w:space="0" w:color="000000"/>
            </w:tcBorders>
            <w:vAlign w:val="center"/>
          </w:tcPr>
          <w:p>
            <w:pPr>
              <w:pStyle w:val="TableContents"/>
              <w:bidi w:val="0"/>
              <w:spacing w:before="0" w:after="283"/>
              <w:jc w:val="center"/>
              <w:rPr>
                <w:b/>
                <w:sz w:val="20"/>
              </w:rPr>
            </w:pPr>
            <w:r>
              <w:rPr>
                <w:b/>
                <w:sz w:val="20"/>
              </w:rPr>
              <w:t>ETORO GROUP LTD.</w:t>
            </w:r>
          </w:p>
        </w:tc>
      </w:tr>
      <w:tr>
        <w:trPr/>
        <w:tc>
          <w:tcPr>
            <w:tcW w:w="3785"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r>
        <w:trPr/>
        <w:tc>
          <w:tcPr>
            <w:tcW w:w="3785" w:type="dxa"/>
            <w:tcBorders/>
            <w:tcMar>
              <w:bottom w:w="0" w:type="dxa"/>
            </w:tcMar>
            <w:vAlign w:val="center"/>
          </w:tcPr>
          <w:p>
            <w:pPr>
              <w:pStyle w:val="TableContents"/>
              <w:bidi w:val="0"/>
              <w:spacing w:before="0" w:after="283"/>
              <w:jc w:val="left"/>
              <w:rPr/>
            </w:pPr>
            <w:r>
              <w:rPr/>
              <w:t> </w:t>
            </w:r>
          </w:p>
        </w:tc>
      </w:tr>
      <w:tr>
        <w:trPr/>
        <w:tc>
          <w:tcPr>
            <w:tcW w:w="378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Sheshet Hayamim 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Bnei Brak, Israel 5120261</w:t>
            </w:r>
          </w:p>
        </w:tc>
      </w:tr>
      <w:tr>
        <w:trPr/>
        <w:tc>
          <w:tcPr>
            <w:tcW w:w="3785" w:type="dxa"/>
            <w:tcBorders/>
            <w:tcMar>
              <w:bottom w:w="0" w:type="dxa"/>
            </w:tcMar>
            <w:vAlign w:val="center"/>
          </w:tcPr>
          <w:p>
            <w:pPr>
              <w:pStyle w:val="TableContents"/>
              <w:bidi w:val="0"/>
              <w:spacing w:before="0" w:after="283"/>
              <w:jc w:val="center"/>
              <w:rPr>
                <w:sz w:val="20"/>
              </w:rPr>
            </w:pPr>
            <w:r>
              <w:rPr>
                <w:sz w:val="20"/>
              </w:rPr>
              <w:t>(Address of principal executive offices)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etoro Group Ltd. (the “Company”) issued a press release titled “etoro Reports Second Quarter 2026 Results.” A copy of the press release is furnished as Exhibit 99.1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unaudited condensed consolidated balance sheets, unaudited condensed consolidated statements of profit or loss and other comprehensive income (loss), unaudited condensed consolidated statements of cash flows and unaudited reconciliation of non-GAAP metrics contained in the press release attached as Exhibit 99.1 to this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333-287430) (including any prospectuses forming a part of such registration statement), to be a part thereof from the date on which this report is submitted, to the extent not superseded by documents or reports subsequently filed or furnished. Except for the foregoing information, the other information contained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710" w:type="dxa"/>
        <w:jc w:val="left"/>
        <w:tblInd w:w="0" w:type="dxa"/>
        <w:tblLayout w:type="fixed"/>
        <w:tblCellMar>
          <w:top w:w="0" w:type="dxa"/>
          <w:left w:w="0" w:type="dxa"/>
          <w:bottom w:w="28" w:type="dxa"/>
          <w:right w:w="0" w:type="dxa"/>
        </w:tblCellMar>
      </w:tblPr>
      <w:tblGrid>
        <w:gridCol w:w="1400"/>
        <w:gridCol w:w="60"/>
        <w:gridCol w:w="7250"/>
      </w:tblGrid>
      <w:tr>
        <w:trPr/>
        <w:tc>
          <w:tcPr>
            <w:tcW w:w="140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7250"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0" w:type="dxa"/>
            <w:tcBorders/>
            <w:shd w:fill="CCEEFF" w:val="clear"/>
            <w:tcMar>
              <w:bottom w:w="0" w:type="dxa"/>
            </w:tcMar>
            <w:vAlign w:val="center"/>
          </w:tcPr>
          <w:p>
            <w:pPr>
              <w:pStyle w:val="TableContents"/>
              <w:bidi w:val="0"/>
              <w:spacing w:before="0" w:after="283"/>
              <w:jc w:val="left"/>
              <w:rPr/>
            </w:pPr>
            <w:hyperlink w:anchor="ea030151001ex99-1.htm">
              <w:r>
                <w:rPr>
                  <w:rStyle w:val="InternetLink"/>
                  <w:sz w:val="20"/>
                </w:rPr>
                <w:t>Press Release dated August 11, 2026, titled “etoro Reports Second Quarter 2026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2615"/>
        <w:gridCol w:w="365"/>
        <w:gridCol w:w="710"/>
        <w:gridCol w:w="2630"/>
      </w:tblGrid>
      <w:tr>
        <w:trPr/>
        <w:tc>
          <w:tcPr>
            <w:tcW w:w="2615" w:type="dxa"/>
            <w:tcBorders/>
            <w:vAlign w:val="center"/>
          </w:tcPr>
          <w:p>
            <w:pPr>
              <w:pStyle w:val="TableContents"/>
              <w:bidi w:val="0"/>
              <w:spacing w:before="0" w:after="283"/>
              <w:jc w:val="left"/>
              <w:rPr/>
            </w:pPr>
            <w:r>
              <w:rPr/>
              <w:t> </w:t>
            </w:r>
          </w:p>
        </w:tc>
        <w:tc>
          <w:tcPr>
            <w:tcW w:w="370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ETORO GROUP LTD.</w:t>
            </w:r>
          </w:p>
        </w:tc>
      </w:tr>
      <w:tr>
        <w:trPr/>
        <w:tc>
          <w:tcPr>
            <w:tcW w:w="2615"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center"/>
              <w:rPr/>
            </w:pPr>
            <w:r>
              <w:rPr/>
              <w:t>(Registrant)</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Date:        </w:t>
            </w:r>
            <w:r>
              <w:rPr>
                <w:u w:val="single"/>
              </w:rPr>
              <w:t>August</w:t>
            </w:r>
            <w:r>
              <w:rPr/>
              <w:t> </w:t>
            </w:r>
            <w:r>
              <w:rPr>
                <w:u w:val="single"/>
              </w:rPr>
              <w:t>11,</w:t>
            </w:r>
            <w:r>
              <w:rPr/>
              <w:t> </w:t>
            </w:r>
            <w:r>
              <w:rPr>
                <w:u w:val="single"/>
              </w:rPr>
              <w:t>2026</w:t>
            </w:r>
          </w:p>
        </w:tc>
        <w:tc>
          <w:tcPr>
            <w:tcW w:w="365" w:type="dxa"/>
            <w:tcBorders/>
            <w:vAlign w:val="center"/>
          </w:tcPr>
          <w:p>
            <w:pPr>
              <w:pStyle w:val="TableContents"/>
              <w:bidi w:val="0"/>
              <w:spacing w:before="0" w:after="283"/>
              <w:jc w:val="left"/>
              <w:rPr/>
            </w:pPr>
            <w:r>
              <w:rPr/>
              <w:t>By:</w:t>
            </w:r>
          </w:p>
        </w:tc>
        <w:tc>
          <w:tcPr>
            <w:tcW w:w="3340" w:type="dxa"/>
            <w:gridSpan w:val="2"/>
            <w:tcBorders>
              <w:bottom w:val="single" w:sz="12" w:space="0" w:color="000000"/>
            </w:tcBorders>
            <w:tcMar>
              <w:bottom w:w="28" w:type="dxa"/>
            </w:tcMar>
            <w:vAlign w:val="center"/>
          </w:tcPr>
          <w:p>
            <w:pPr>
              <w:pStyle w:val="TableContents"/>
              <w:bidi w:val="0"/>
              <w:spacing w:before="0" w:after="283"/>
              <w:jc w:val="left"/>
              <w:rPr/>
            </w:pPr>
            <w:r>
              <w:rPr/>
              <w:t>/s/ Johnathan Alexander Assia</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630" w:type="dxa"/>
            <w:tcBorders/>
            <w:vAlign w:val="center"/>
          </w:tcPr>
          <w:p>
            <w:pPr>
              <w:pStyle w:val="TableContents"/>
              <w:bidi w:val="0"/>
              <w:spacing w:before="0" w:after="283"/>
              <w:jc w:val="left"/>
              <w:rPr/>
            </w:pPr>
            <w:r>
              <w:rPr/>
              <w:t>Johnathan Alexander Assia</w:t>
            </w:r>
          </w:p>
        </w:tc>
      </w:tr>
      <w:tr>
        <w:trPr/>
        <w:tc>
          <w:tcPr>
            <w:tcW w:w="26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63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 w:name="ea030151001ex99-1.htm"/>
      <w:bookmarkStart w:id="3" w:name="ksea030151001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REPORTS SECOND QUARTER 2026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Contribution grew by 9% year-over-year to $229 million Funded accounts grew by 18% year-over-year to 4.28 million Announced agreement to acquire TradeZero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 August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2026 – </w:t>
      </w:r>
      <w:r>
        <w:rPr>
          <w:rFonts w:ascii="Times New Roman;Times;Serif" w:hAnsi="Times New Roman;Times;Serif"/>
          <w:b w:val="false"/>
          <w:i w:val="false"/>
          <w:caps w:val="false"/>
          <w:smallCaps w:val="false"/>
          <w:sz w:val="20"/>
        </w:rPr>
        <w:t>etoro Group Ltd. (“etoro”, or the “Company”) (NASDAQ: ETOR), the trading and investing platform, today announced financial results for the second quarter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We delivered another strong quarter as we continue executing against our long-term strategy,” said </w:t>
      </w:r>
      <w:r>
        <w:rPr>
          <w:rFonts w:ascii="Times New Roman;Times;Serif" w:hAnsi="Times New Roman;Times;Serif"/>
          <w:b/>
          <w:i/>
          <w:caps w:val="false"/>
          <w:smallCaps w:val="false"/>
          <w:sz w:val="20"/>
        </w:rPr>
        <w:t>Yoni Assia, Co-Founder and CEO of etoro</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caps w:val="false"/>
          <w:smallCaps w:val="false"/>
          <w:sz w:val="20"/>
        </w:rPr>
        <w:t>Technology continues to reshape how people invest and manage their money. Throughout our history, etoro has embraced these shifts, from social investing to crypto, and today AI and on-chain finance represent the next chapter in that evolution.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During the quarter, we launched our new mobile app, continued expanding our platform and agent ecosystem, and strengthened our long-term digital asset strategy by expanding our self-custody offering and advancing the development of on-chain perpetual futures. We also launched new products like sub-accounts, etoro edge for active traders, and etoro wealth, and we saw continued strong momentum in our savings offering. Together, these developments build on our four strategic pillars of trading, investing, wealth management and neo-banking, creating a more seamless experience across every stage of our users’ financial journey.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Today’s announcement of our acquisition of TradeZero marks another important step in that journey, strengthening our presence in the US and enhancing our capabilities for active traders. Together with another quarter of profitable growth, these milestones demonstrate the strength of our diversified business model and reinforce our confidence in the long-term opportunity ahead.”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Meron Shani, etoro CFO </w:t>
      </w:r>
      <w:r>
        <w:rPr>
          <w:rFonts w:ascii="Times New Roman;Times;Serif" w:hAnsi="Times New Roman;Times;Serif"/>
          <w:b w:val="false"/>
          <w:i/>
          <w:caps w:val="false"/>
          <w:smallCaps w:val="false"/>
          <w:sz w:val="20"/>
        </w:rPr>
        <w:t>said: “We are very pleased with our second quarter 2026 results, supported by strength in equity trading and Copy Trading activity, reflecting the resilience of our multi-asset platform. More than 60% of users who traded commodities during Q4 2025 to Q1 2026 subsequently traded equities in Q2 2026, and nearly nine in ten of those users have also traded crypto on etoro. This demonstrates how users move between asset classes as market opportunities evolve, helping drive engagement across market cycles.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delivered compelling financial performance through a combination of diversified revenue streams, strong funded accounts growth, and increased customer engagement. TradeZero is a highly complementary business, and the acquisition is expected to be financially accretive while positioning us for accelerated growth. The deal underscores our disciplined approach to capital allocation and our commitment to creating long-term shareholder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and Product Highlights</w:t>
      </w:r>
      <w:r>
        <w:rPr>
          <w:rFonts w:ascii="Times New Roman;Times;Serif" w:hAnsi="Times New Roman;Times;Serif"/>
          <w:b w:val="false"/>
          <w:i w:val="false"/>
          <w:caps w:val="false"/>
          <w:smallCaps w:val="false"/>
          <w:position w:val="7"/>
          <w:sz w:val="16"/>
          <w:sz w:val="20"/>
        </w:rPr>
        <w:t>1</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Net contribution</w:t>
            </w:r>
            <w:r>
              <w:rPr/>
              <w:t xml:space="preserve"> increased by 9% year-over-year to $229 million, compared to $210 million in the second quarter of 2025, driven primarily by increased equities trading activity.</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Net income (GAAP) </w:t>
            </w:r>
            <w:r>
              <w:rPr/>
              <w:t>increased by 77% year over year to $53 million, compared to $30 million in the second quarter of 2025.</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Adjusted Net Income (Non-GAAP)</w:t>
            </w:r>
            <w:r>
              <w:rPr/>
              <w:t xml:space="preserve"> increased by 17% year over year to $63 million, compared to $54 million in the second quarter of 2025.</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Adjusted EBITDA (non-GAAP) </w:t>
            </w:r>
            <w:r>
              <w:rPr/>
              <w:t>increased by 9% year over year to $78 million, compared to $72 million in the second quarter of 2025.</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See “Non-GAAP Financial Metrics and Key Performance Indicators” below for additional information and a reconciliation to GAAP for all Non-GAAP financial metrics. Adjusted EBITDA margin is based on net contribution.</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pPr>
            <w:r>
              <w:rPr>
                <w:rFonts w:ascii="Times New Roman;Times;Serif" w:hAnsi="Times New Roman;Times;Serif"/>
                <w:b/>
              </w:rPr>
              <w:t>Diluted EPS (GAAP)</w:t>
            </w:r>
            <w:r>
              <w:rPr/>
              <w:t xml:space="preserve"> was $0.58, compared to $0.31 in the second quarter of 2025.</w:t>
            </w:r>
          </w:p>
        </w:tc>
      </w:tr>
    </w:tbl>
    <w:p>
      <w:pPr>
        <w:pStyle w:val="TextBody"/>
        <w:bidi w:val="0"/>
        <w:spacing w:before="0" w:after="283"/>
        <w:jc w:val="left"/>
        <w:rPr/>
      </w:pPr>
      <w:r>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pPr>
            <w:r>
              <w:rPr>
                <w:rFonts w:ascii="Times New Roman;Times;Serif" w:hAnsi="Times New Roman;Times;Serif"/>
                <w:b/>
              </w:rPr>
              <w:t>Adjusted Diluted EPS (non-GAAP)</w:t>
            </w:r>
            <w:r>
              <w:rPr/>
              <w:t xml:space="preserve"> was $0.68, compared to $0.56 in the second quarter of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Funded Accounts </w:t>
            </w:r>
            <w:r>
              <w:rPr/>
              <w:t>increased 18% year over year to 4.28 million compared to 3.63 million in the second quarter of 2025. This was driven primarily by strength in user acquisition and retention efforts.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Assets under Administration </w:t>
            </w:r>
            <w:r>
              <w:rPr/>
              <w:t>grew by 10% year-over-year to $19.2 billion, compared to $17.5 billion in the second quarter of 2025.</w:t>
            </w:r>
          </w:p>
        </w:tc>
      </w:tr>
    </w:tbl>
    <w:p>
      <w:pPr>
        <w:pStyle w:val="TextBody"/>
        <w:bidi w:val="0"/>
        <w:spacing w:before="0" w:after="283"/>
        <w:jc w:val="left"/>
        <w:rPr/>
      </w:pPr>
      <w:r>
        <w:rPr/>
        <w:t> </w:t>
      </w:r>
    </w:p>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both"/>
              <w:rPr/>
            </w:pPr>
            <w:r>
              <w:rPr>
                <w:rFonts w:ascii="Times New Roman;Times;Serif" w:hAnsi="Times New Roman;Times;Serif"/>
                <w:b/>
              </w:rPr>
              <w:t>Cash, Cash Equivalents and Short Term Investments</w:t>
            </w:r>
            <w:r>
              <w:rPr/>
              <w:t xml:space="preserve"> were $1.2 billion as of June 30,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Acquisition </w:t>
            </w:r>
            <w:r>
              <w:rPr/>
              <w:t>of TradeZero, a leading US based online brokerage serving active traders which we expected to be consumed in 1H 2027. This is our third acquisition signed this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KPI metrics</w:t>
      </w:r>
      <w:r>
        <w:rPr>
          <w:rFonts w:ascii="Times New Roman;Times;Serif" w:hAnsi="Times New Roman;Times;Serif"/>
          <w:b/>
          <w:i w:val="false"/>
          <w:caps w:val="false"/>
          <w:smallCaps w:val="false"/>
          <w:position w:val="7"/>
          <w:sz w:val="16"/>
          <w:sz w:val="20"/>
        </w:rPr>
        <w:t>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etoro also reported the below selected monthly business metrics for July 2026:</w:t>
      </w:r>
    </w:p>
    <w:p>
      <w:pPr>
        <w:pStyle w:val="TextBody"/>
        <w:bidi w:val="0"/>
        <w:spacing w:before="0" w:after="0"/>
        <w:ind w:left="0" w:right="0" w:hanging="359"/>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7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pPr>
            <w:r>
              <w:rPr>
                <w:rFonts w:ascii="Times New Roman;Times;Serif" w:hAnsi="Times New Roman;Times;Serif"/>
                <w:b/>
              </w:rPr>
              <w:t>Assets under Administration (AUA)</w:t>
            </w:r>
            <w:r>
              <w:rPr/>
              <w:t xml:space="preserve"> were $18.5 billion, down 5% year-over-year.</w:t>
            </w:r>
          </w:p>
        </w:tc>
      </w:tr>
    </w:tbl>
    <w:p>
      <w:pPr>
        <w:pStyle w:val="TextBody"/>
        <w:bidi w:val="0"/>
        <w:spacing w:before="0" w:after="283"/>
        <w:jc w:val="left"/>
        <w:rPr/>
      </w:pPr>
      <w:r>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rFonts w:ascii="Times New Roman;Times;Serif" w:hAnsi="Times New Roman;Times;Serif"/>
                <w:b/>
              </w:rPr>
              <w:t>Funded Accounts</w:t>
            </w:r>
            <w:r>
              <w:rPr/>
              <w:t xml:space="preserve"> were 4.32 million, up 18% year-over-year.</w:t>
            </w:r>
          </w:p>
        </w:tc>
      </w:tr>
    </w:tbl>
    <w:p>
      <w:pPr>
        <w:pStyle w:val="TextBody"/>
        <w:bidi w:val="0"/>
        <w:spacing w:before="0" w:after="283"/>
        <w:jc w:val="left"/>
        <w:rPr/>
      </w:pPr>
      <w:r>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pPr>
            <w:r>
              <w:rPr/>
              <w:t>Capital Markets/ECC Activity</w:t>
            </w:r>
          </w:p>
        </w:tc>
      </w:tr>
    </w:tbl>
    <w:p>
      <w:pPr>
        <w:pStyle w:val="TextBody"/>
        <w:bidi w:val="0"/>
        <w:spacing w:before="0" w:after="283"/>
        <w:jc w:val="left"/>
        <w:rPr/>
      </w:pPr>
      <w:r>
        <w:rPr/>
        <w:t> </w:t>
      </w:r>
    </w:p>
    <w:tbl>
      <w:tblPr>
        <w:tblW w:w="7053" w:type="dxa"/>
        <w:jc w:val="left"/>
        <w:tblInd w:w="0" w:type="dxa"/>
        <w:tblLayout w:type="fixed"/>
        <w:tblCellMar>
          <w:top w:w="0" w:type="dxa"/>
          <w:left w:w="0" w:type="dxa"/>
          <w:bottom w:w="0" w:type="dxa"/>
          <w:right w:w="0" w:type="dxa"/>
        </w:tblCellMar>
      </w:tblPr>
      <w:tblGrid>
        <w:gridCol w:w="38"/>
        <w:gridCol w:w="50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&amp;cir;</w:t>
            </w:r>
          </w:p>
        </w:tc>
        <w:tc>
          <w:tcPr>
            <w:tcW w:w="6515" w:type="dxa"/>
            <w:tcBorders/>
            <w:vAlign w:val="center"/>
          </w:tcPr>
          <w:p>
            <w:pPr>
              <w:pStyle w:val="TableContents"/>
              <w:bidi w:val="0"/>
              <w:spacing w:before="0" w:after="283"/>
              <w:jc w:val="both"/>
              <w:rPr/>
            </w:pPr>
            <w:r>
              <w:rPr/>
              <w:t>Total number of trades for July was 48.5 million, flat year-over-year;</w:t>
            </w:r>
          </w:p>
        </w:tc>
      </w:tr>
    </w:tbl>
    <w:p>
      <w:pPr>
        <w:pStyle w:val="TextBody"/>
        <w:bidi w:val="0"/>
        <w:spacing w:before="0" w:after="283"/>
        <w:jc w:val="left"/>
        <w:rPr/>
      </w:pPr>
      <w:r>
        <w:rPr/>
        <w:t> </w:t>
      </w:r>
    </w:p>
    <w:tbl>
      <w:tblPr>
        <w:tblW w:w="7428" w:type="dxa"/>
        <w:jc w:val="left"/>
        <w:tblInd w:w="0" w:type="dxa"/>
        <w:tblLayout w:type="fixed"/>
        <w:tblCellMar>
          <w:top w:w="0" w:type="dxa"/>
          <w:left w:w="0" w:type="dxa"/>
          <w:bottom w:w="0" w:type="dxa"/>
          <w:right w:w="0" w:type="dxa"/>
        </w:tblCellMar>
      </w:tblPr>
      <w:tblGrid>
        <w:gridCol w:w="38"/>
        <w:gridCol w:w="50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&amp;cir;</w:t>
            </w:r>
          </w:p>
        </w:tc>
        <w:tc>
          <w:tcPr>
            <w:tcW w:w="6890" w:type="dxa"/>
            <w:tcBorders/>
            <w:vAlign w:val="center"/>
          </w:tcPr>
          <w:p>
            <w:pPr>
              <w:pStyle w:val="TableContents"/>
              <w:bidi w:val="0"/>
              <w:spacing w:before="0" w:after="283"/>
              <w:jc w:val="both"/>
              <w:rPr/>
            </w:pPr>
            <w:r>
              <w:rPr/>
              <w:t>Invested amount per trade for July was $207, down 23% year-over-year;</w:t>
            </w:r>
          </w:p>
        </w:tc>
      </w:tr>
    </w:tbl>
    <w:p>
      <w:pPr>
        <w:pStyle w:val="TextBody"/>
        <w:bidi w:val="0"/>
        <w:spacing w:before="0" w:after="283"/>
        <w:jc w:val="left"/>
        <w:rPr/>
      </w:pPr>
      <w:r>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Crypto Activity</w:t>
            </w:r>
          </w:p>
        </w:tc>
      </w:tr>
    </w:tbl>
    <w:p>
      <w:pPr>
        <w:pStyle w:val="TextBody"/>
        <w:bidi w:val="0"/>
        <w:spacing w:before="0" w:after="283"/>
        <w:jc w:val="left"/>
        <w:rPr/>
      </w:pPr>
      <w:r>
        <w:rPr/>
        <w:t> </w:t>
      </w:r>
    </w:p>
    <w:tbl>
      <w:tblPr>
        <w:tblW w:w="7668" w:type="dxa"/>
        <w:jc w:val="left"/>
        <w:tblInd w:w="0" w:type="dxa"/>
        <w:tblLayout w:type="fixed"/>
        <w:tblCellMar>
          <w:top w:w="0" w:type="dxa"/>
          <w:left w:w="0" w:type="dxa"/>
          <w:bottom w:w="0" w:type="dxa"/>
          <w:right w:w="0" w:type="dxa"/>
        </w:tblCellMar>
      </w:tblPr>
      <w:tblGrid>
        <w:gridCol w:w="38"/>
        <w:gridCol w:w="50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&amp;cir;</w:t>
            </w:r>
          </w:p>
        </w:tc>
        <w:tc>
          <w:tcPr>
            <w:tcW w:w="7130" w:type="dxa"/>
            <w:tcBorders/>
            <w:vAlign w:val="center"/>
          </w:tcPr>
          <w:p>
            <w:pPr>
              <w:pStyle w:val="TableContents"/>
              <w:bidi w:val="0"/>
              <w:spacing w:before="0" w:after="283"/>
              <w:jc w:val="both"/>
              <w:rPr/>
            </w:pPr>
            <w:r>
              <w:rPr/>
              <w:t>Total number of trades for July was 1.4 million, down 73% year-over-year;</w:t>
            </w:r>
          </w:p>
        </w:tc>
      </w:tr>
    </w:tbl>
    <w:p>
      <w:pPr>
        <w:pStyle w:val="TextBody"/>
        <w:bidi w:val="0"/>
        <w:spacing w:before="0" w:after="283"/>
        <w:jc w:val="left"/>
        <w:rPr/>
      </w:pPr>
      <w:r>
        <w:rPr/>
        <w:t> </w:t>
      </w:r>
    </w:p>
    <w:tbl>
      <w:tblPr>
        <w:tblW w:w="7428" w:type="dxa"/>
        <w:jc w:val="left"/>
        <w:tblInd w:w="0" w:type="dxa"/>
        <w:tblLayout w:type="fixed"/>
        <w:tblCellMar>
          <w:top w:w="0" w:type="dxa"/>
          <w:left w:w="0" w:type="dxa"/>
          <w:bottom w:w="0" w:type="dxa"/>
          <w:right w:w="0" w:type="dxa"/>
        </w:tblCellMar>
      </w:tblPr>
      <w:tblGrid>
        <w:gridCol w:w="38"/>
        <w:gridCol w:w="50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&amp;cir;</w:t>
            </w:r>
          </w:p>
        </w:tc>
        <w:tc>
          <w:tcPr>
            <w:tcW w:w="6890" w:type="dxa"/>
            <w:tcBorders/>
            <w:vAlign w:val="center"/>
          </w:tcPr>
          <w:p>
            <w:pPr>
              <w:pStyle w:val="TableContents"/>
              <w:bidi w:val="0"/>
              <w:spacing w:before="0" w:after="283"/>
              <w:jc w:val="both"/>
              <w:rPr/>
            </w:pPr>
            <w:r>
              <w:rPr/>
              <w:t>Invested amount per trade for July was $182, down 50% year-over-year;</w:t>
            </w:r>
          </w:p>
        </w:tc>
      </w:tr>
    </w:tbl>
    <w:p>
      <w:pPr>
        <w:pStyle w:val="TextBody"/>
        <w:bidi w:val="0"/>
        <w:spacing w:before="0" w:after="283"/>
        <w:jc w:val="left"/>
        <w:rPr/>
      </w:pPr>
      <w:r>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rFonts w:ascii="Times New Roman;Times;Serif" w:hAnsi="Times New Roman;Times;Serif"/>
                <w:b/>
              </w:rPr>
              <w:t>Interest Earning Assets</w:t>
            </w:r>
            <w:r>
              <w:rPr/>
              <w:t xml:space="preserve"> for July was $6.8 billion, down 8% year-over-year.</w:t>
            </w:r>
          </w:p>
        </w:tc>
      </w:tr>
    </w:tbl>
    <w:p>
      <w:pPr>
        <w:pStyle w:val="TextBody"/>
        <w:bidi w:val="0"/>
        <w:spacing w:before="0" w:after="283"/>
        <w:jc w:val="left"/>
        <w:rPr/>
      </w:pPr>
      <w:r>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rFonts w:ascii="Times New Roman;Times;Serif" w:hAnsi="Times New Roman;Times;Serif"/>
                <w:b/>
              </w:rPr>
              <w:t>Total Money Transfers</w:t>
            </w:r>
            <w:r>
              <w:rPr/>
              <w:t xml:space="preserve"> for July was $1.1 billion, up 10% year-over-year.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etoro launched its new mobile app, bringing together new AI-driven capabilities across trading, investing, wealth management and neo-banking into a single, more intuitive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Built around Tori, etoro’s AI agent, the app provides users with proactive, personalized insights to help them better understand their portfolios, identify investment opportunities and stay informed wherever they are. The launch also expanded etoro’s app and agent ecosystem, enabling developers, partners and professional investors to build new experiences on top of the etoro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 also saw continued product innovation across each of etoro’s four strategic pillars.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Trading: </w:t>
            </w:r>
            <w:r>
              <w:rPr/>
              <w:t>etoro broadened its trading proposition with new products and capabilities designed to give users greater choice and flexibility. During the quarter the Company launched etoro edge, a new web platform for active traders. etoro also recently introduced equity buying power, giving users greater flexibility by unlocking capital from eligible stock positions without having to sell them. Crypto buying power is coming soon.</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8635" w:type="dxa"/>
        <w:jc w:val="left"/>
        <w:tblInd w:w="0" w:type="dxa"/>
        <w:tblLayout w:type="fixed"/>
        <w:tblCellMar>
          <w:top w:w="0" w:type="dxa"/>
          <w:left w:w="0" w:type="dxa"/>
          <w:bottom w:w="0" w:type="dxa"/>
          <w:right w:w="0" w:type="dxa"/>
        </w:tblCellMar>
      </w:tblPr>
      <w:tblGrid>
        <w:gridCol w:w="140"/>
        <w:gridCol w:w="849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8495" w:type="dxa"/>
            <w:tcBorders/>
            <w:vAlign w:val="center"/>
          </w:tcPr>
          <w:p>
            <w:pPr>
              <w:pStyle w:val="TableContents"/>
              <w:bidi w:val="0"/>
              <w:spacing w:before="0" w:after="283"/>
              <w:jc w:val="both"/>
              <w:rPr/>
            </w:pPr>
            <w:r>
              <w:rPr/>
              <w:t>Numbers may not sum up due to rounding; percentage changes based on unrounded data.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Investing:</w:t>
            </w:r>
            <w:r>
              <w:rPr/>
              <w:t xml:space="preserve"> etoro continued expanding its investing ecosystem through new AI-powered capabilities and the continued growth of the etoro App Store, which now offers more than 75 applications built by developers, partners and Pro Investors, giving users new ways to discover ideas, analyze markets and personalize their investing experience. During the quarter, the Company also introduced Agent Portfolios, enabling users to connect AI agents to dedicated portfolios within their etoro account while maintaining control over their investment objectives, capital allocation and risk parameters. Sub-accounts give users the ability to organize investments around different financial goals and strategies within a single account, whether managed directly or by AI agents. Together, these innovations give investors more personalized and flexible ways to invest while remaining in control of their financial decisions. Additionally, we recently received our US RIA license, enabling us to launch Smart Portfolios in the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 xml:space="preserve">Wealth Management: </w:t>
            </w:r>
            <w:r>
              <w:rPr/>
              <w:t>Helping users build long-term wealth remained a key focus during the quarter. The Company’s savings offering continued to gain momentum with a 15x year-over-year increase in UK Cash ISA AuM reinforcing etoro’s strategy of helping customers build long-term wealth. etoro recently announced ‘etoro work’, connecting payroll directly with investing and making it easier for employees to invest from every paycheck.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Neo-Banking:</w:t>
            </w:r>
            <w:r>
              <w:rPr/>
              <w:t xml:space="preserve"> etoro continued enhancing its offering, making it easier for users to move, manage and invest their money across traditional and digital finance. During the quarter, adoption of the etoro money card continued to accelerate, with the number of cards issued across Europe increasing by more than 30% quarter-over-quarter. The Company also made a strategic investment in Extended, an on-chain perpetual futures platform, and became a founding partner of Open USD, reinforcing etoro’s strategy of connecting traditional finance with the on-chain economy.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b/>
              </w:rPr>
              <w:t>Acquisitions</w:t>
            </w:r>
            <w:r>
              <w:rPr/>
              <w:t>: Today, etoro announced the acquisition of TradeZero combining etoro’s global multi-asset platform and distribution with TradeZero’s US-based active trading brokerage. The acquisition strengthens the Company’s US presence, expands its retail customer base to new retail targets, and provides a strong broker-dealer infrastructure. In Q2, the Company completed the acquisition of Zengo and Bit2C, strengthening its self-custody offering as part of its long-term strategy to connect traditional finance with the on-chain economy.</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Livestream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etoro will host a video call to discuss its results at 5:30 a.m PT / 8:30 a.m ET today, August 11, 2026. The video call can be accessed at </w:t>
      </w:r>
      <w:r>
        <w:rPr>
          <w:rFonts w:ascii="Times New Roman;Times;Serif" w:hAnsi="Times New Roman;Times;Serif"/>
          <w:b w:val="false"/>
          <w:i w:val="false"/>
          <w:caps w:val="false"/>
          <w:smallCaps w:val="false"/>
          <w:strike w:val="false"/>
          <w:dstrike w:val="false"/>
          <w:sz w:val="20"/>
          <w:u w:val="none"/>
          <w:effect w:val="none"/>
        </w:rPr>
        <w:t>investors.etoro.com</w:t>
      </w:r>
      <w:r>
        <w:rPr>
          <w:rFonts w:ascii="Times New Roman;Times;Serif" w:hAnsi="Times New Roman;Times;Serif"/>
          <w:b w:val="false"/>
          <w:i w:val="false"/>
          <w:caps w:val="false"/>
          <w:smallCaps w:val="false"/>
          <w:sz w:val="20"/>
        </w:rPr>
        <w:t xml:space="preserve">, along with this earnings press release and accompanying slide presentation. The event will also be live streamed to etoro’s </w:t>
      </w:r>
      <w:r>
        <w:rPr>
          <w:rFonts w:ascii="Times New Roman;Times;Serif" w:hAnsi="Times New Roman;Times;Serif"/>
          <w:b w:val="false"/>
          <w:i w:val="false"/>
          <w:caps w:val="false"/>
          <w:smallCaps w:val="false"/>
          <w:strike w:val="false"/>
          <w:dstrike w:val="false"/>
          <w:sz w:val="20"/>
          <w:u w:val="none"/>
          <w:effect w:val="none"/>
        </w:rPr>
        <w:t>YouTube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val="false"/>
          <w:dstrike w:val="false"/>
          <w:sz w:val="20"/>
          <w:u w:val="none"/>
          <w:effect w:val="none"/>
        </w:rPr>
        <w:t>X.com</w:t>
      </w:r>
      <w:r>
        <w:rPr>
          <w:rFonts w:ascii="Times New Roman;Times;Serif" w:hAnsi="Times New Roman;Times;Serif"/>
          <w:b w:val="false"/>
          <w:i w:val="false"/>
          <w:caps w:val="false"/>
          <w:smallCaps w:val="false"/>
          <w:sz w:val="20"/>
        </w:rPr>
        <w:t xml:space="preserve"> official channels.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Relations - </w:t>
      </w:r>
      <w:r>
        <w:rPr>
          <w:rFonts w:ascii="Times New Roman;Times;Serif" w:hAnsi="Times New Roman;Times;Serif"/>
          <w:b w:val="false"/>
          <w:i w:val="false"/>
          <w:caps w:val="false"/>
          <w:smallCaps w:val="false"/>
          <w:strike w:val="false"/>
          <w:dstrike w:val="false"/>
          <w:sz w:val="20"/>
          <w:u w:val="none"/>
          <w:effect w:val="none"/>
        </w:rPr>
        <w:t>pr@etoro.com</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Relations - </w:t>
      </w:r>
      <w:r>
        <w:rPr>
          <w:rFonts w:ascii="Times New Roman;Times;Serif" w:hAnsi="Times New Roman;Times;Serif"/>
          <w:b w:val="false"/>
          <w:i w:val="false"/>
          <w:caps w:val="false"/>
          <w:smallCaps w:val="false"/>
          <w:strike w:val="false"/>
          <w:dstrike w:val="false"/>
          <w:sz w:val="20"/>
          <w:u w:val="none"/>
          <w:effect w:val="none"/>
        </w:rPr>
        <w:t>investors@etoro.com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etoro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rPr>
        <w:t>etoro</w:t>
      </w:r>
      <w:r>
        <w:rPr>
          <w:rFonts w:ascii="Times New Roman;Times;Serif" w:hAnsi="Times New Roman;Times;Serif"/>
          <w:b w:val="false"/>
          <w:i w:val="false"/>
          <w:caps w:val="false"/>
          <w:smallCaps w:val="false"/>
          <w:sz w:val="20"/>
        </w:rPr>
        <w:t xml:space="preserve"> is the platform where you can trade, invest, save and spend. Founded in 2007 with the vision of a world where everyone can trade and invest in a simple and transparent way, we’ve built a regulated, Nasdaq-listed platform used by millions of people in 75 countries.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there is power in shared knowledge. By combining the collective intelligence of our community with AI-powered tools, we’ve created a collaborative investment community designed to help you grow your knowledge and wealth. On etoro, you can hold a range of traditional and innovative assets and choose how you invest: trade directly, invest in a portfolio, copy other investors, or invest with an AI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Visit our </w:t>
      </w:r>
      <w:r>
        <w:rPr>
          <w:rFonts w:ascii="Times New Roman;Times;Serif" w:hAnsi="Times New Roman;Times;Serif"/>
          <w:b w:val="false"/>
          <w:i w:val="false"/>
          <w:caps w:val="false"/>
          <w:smallCaps w:val="false"/>
          <w:strike w:val="false"/>
          <w:dstrike w:val="false"/>
          <w:sz w:val="20"/>
          <w:u w:val="none"/>
          <w:effect w:val="none"/>
        </w:rPr>
        <w:t>media center</w:t>
      </w:r>
      <w:r>
        <w:rPr>
          <w:rFonts w:ascii="Times New Roman;Times;Serif" w:hAnsi="Times New Roman;Times;Serif"/>
          <w:b w:val="false"/>
          <w:i w:val="false"/>
          <w:caps w:val="false"/>
          <w:smallCaps w:val="false"/>
          <w:sz w:val="20"/>
        </w:rPr>
        <w:t xml:space="preserve"> for our latest news.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GROUP LTD.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5435"/>
        <w:gridCol w:w="60"/>
        <w:gridCol w:w="63"/>
        <w:gridCol w:w="1037"/>
        <w:gridCol w:w="95"/>
        <w:gridCol w:w="60"/>
        <w:gridCol w:w="78"/>
        <w:gridCol w:w="1277"/>
        <w:gridCol w:w="110"/>
      </w:tblGrid>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strike w:val="false"/>
                <w:dstrike w:val="false"/>
                <w:u w:val="none"/>
                <w:effect w:val="none"/>
              </w:rPr>
            </w:pPr>
            <w:r>
              <w:rPr>
                <w:b/>
                <w:strike w:val="false"/>
                <w:dstrike w:val="false"/>
                <w:u w:val="none"/>
                <w:effect w:val="none"/>
              </w:rPr>
              <w:t>Unaudited</w:t>
            </w:r>
          </w:p>
        </w:tc>
        <w:tc>
          <w:tcPr>
            <w:tcW w:w="9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945,916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1,072,641</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329</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Short-term investment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267,315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202,688</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Counterparties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339,836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249,055</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Cryptoassets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49,951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62,606</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Receivable from omnibus accounts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26,820</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Other receivables and prepaid expenses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68,346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61,299</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1,679,137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1,675,438</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11,688</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Right of use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41,873</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Goodwill and other intangible assets,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65,165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43,211</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11,548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11,776</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139,058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115,909</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1,818,195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1,791,347</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b/>
              </w:rPr>
            </w:pPr>
            <w:r>
              <w:rPr>
                <w:b/>
              </w:rPr>
              <w:t>Liabilities and equities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4,435</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Current maturities of long-term lease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5,978</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Short Term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8,994</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Payable to users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147,773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107,830</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Accrued expenses and other payables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250,912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215,414</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417,969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342,651</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Employee benefit liabilities,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962</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Long-term lease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48,485</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Deferred taxes liabilities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4,318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4,659</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54,106</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b/>
              </w:rPr>
            </w:pPr>
            <w:r>
              <w:rPr>
                <w:b/>
              </w:rPr>
              <w:t>Equity attributable to equity holders of the company: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Common share premium</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1,298,553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1,273,894</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(252,163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(62,085</w:t>
            </w:r>
          </w:p>
        </w:tc>
        <w:tc>
          <w:tcPr>
            <w:tcW w:w="110" w:type="dxa"/>
            <w:tcBorders/>
            <w:shd w:fill="FFFFFF" w:val="clear"/>
            <w:vAlign w:val="center"/>
          </w:tcPr>
          <w:p>
            <w:pPr>
              <w:pStyle w:val="TableContents"/>
              <w:bidi w:val="0"/>
              <w:spacing w:before="0" w:after="283"/>
              <w:jc w:val="left"/>
              <w:rPr/>
            </w:pPr>
            <w:r>
              <w:rPr/>
              <w:t>)</w:t>
            </w:r>
          </w:p>
        </w:tc>
      </w:tr>
      <w:tr>
        <w:trPr/>
        <w:tc>
          <w:tcPr>
            <w:tcW w:w="5435" w:type="dxa"/>
            <w:tcBorders/>
            <w:shd w:fill="CCEEFF" w:val="clear"/>
            <w:vAlign w:val="center"/>
          </w:tcPr>
          <w:p>
            <w:pPr>
              <w:pStyle w:val="TableContents"/>
              <w:bidi w:val="0"/>
              <w:spacing w:before="0" w:after="283"/>
              <w:jc w:val="left"/>
              <w:rPr/>
            </w:pPr>
            <w:r>
              <w:rPr/>
              <w:t>Advanced Investment Agreement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9,091</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Other capital reserve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5,441</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Retained Earnings (Accumulated deficit)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304,133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168,249</w:t>
            </w:r>
          </w:p>
        </w:tc>
        <w:tc>
          <w:tcPr>
            <w:tcW w:w="110"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1,363,447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1,394,590</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1,818,195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1,791,347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ETORO GROUP LTD. </w:t>
        <w:br/>
        <w:t xml:space="preserve">CONDENSED CONSOLIDATED STATEMENTS OF PROFIT OR LOSS </w:t>
        <w:br/>
        <w:t xml:space="preserve">AND OTHER COMPREHENSIVE INCOME (LOSS) </w:t>
        <w:b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0"/>
        <w:gridCol w:w="60"/>
        <w:gridCol w:w="63"/>
        <w:gridCol w:w="1037"/>
        <w:gridCol w:w="60"/>
        <w:gridCol w:w="60"/>
        <w:gridCol w:w="63"/>
        <w:gridCol w:w="1037"/>
        <w:gridCol w:w="95"/>
        <w:gridCol w:w="60"/>
        <w:gridCol w:w="63"/>
        <w:gridCol w:w="1037"/>
        <w:gridCol w:w="95"/>
        <w:gridCol w:w="60"/>
        <w:gridCol w:w="63"/>
        <w:gridCol w:w="1037"/>
        <w:gridCol w:w="75"/>
      </w:tblGrid>
      <w:tr>
        <w:trPr/>
        <w:tc>
          <w:tcPr>
            <w:tcW w:w="52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ind w:left="0" w:right="0" w:hanging="180"/>
              <w:jc w:val="left"/>
              <w:rPr/>
            </w:pPr>
            <w:r>
              <w:rPr/>
              <w:t> </w:t>
            </w:r>
          </w:p>
        </w:tc>
      </w:tr>
      <w:tr>
        <w:trPr/>
        <w:tc>
          <w:tcPr>
            <w:tcW w:w="5240" w:type="dxa"/>
            <w:tcBorders/>
            <w:vAlign w:val="center"/>
          </w:tcPr>
          <w:p>
            <w:pPr>
              <w:pStyle w:val="TableContents"/>
              <w:bidi w:val="0"/>
              <w:spacing w:before="0" w:after="283"/>
              <w:jc w:val="left"/>
              <w:rPr>
                <w:b/>
              </w:rPr>
            </w:pPr>
            <w:r>
              <w:rPr>
                <w:b/>
              </w:rPr>
              <w:t>Revenue and income:</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Net trading income from equities, commodities and currencies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141,593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114,042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307,230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210,879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Revenue from cryptoassets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1,346,405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1,914,792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3,499,504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5,415,592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Net trading income (loss) from cryptoassets derivatives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(8,407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53,098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68,644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Net interest income from users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48,455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43,874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95,781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96,492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Currency conversion and other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22,503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59,039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46,414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Other interest income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8,895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7,431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17,602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11,595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Total revenue and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1,593,118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2,094,235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4,032,254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5,849,616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Costs: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Cost of revenue from cryptoassets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right"/>
              <w:rPr/>
            </w:pPr>
            <w:r>
              <w:rPr/>
              <w:t>1,353,601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right"/>
              <w:rPr/>
            </w:pPr>
            <w:r>
              <w:rPr/>
              <w:t>1,877,089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right"/>
              <w:rPr/>
            </w:pPr>
            <w:r>
              <w:rPr/>
              <w:t>3,524,728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sz w:val="4"/>
                <w:szCs w:val="4"/>
              </w:rPr>
            </w:pPr>
            <w:r>
              <w:rPr>
                <w:sz w:val="4"/>
                <w:szCs w:val="4"/>
              </w:rPr>
            </w:r>
          </w:p>
        </w:tc>
        <w:tc>
          <w:tcPr>
            <w:tcW w:w="1037" w:type="dxa"/>
            <w:tcBorders/>
            <w:shd w:fill="FFFFFF" w:val="clear"/>
            <w:vAlign w:val="center"/>
          </w:tcPr>
          <w:p>
            <w:pPr>
              <w:pStyle w:val="TableContents"/>
              <w:bidi w:val="0"/>
              <w:spacing w:before="0" w:after="283"/>
              <w:jc w:val="right"/>
              <w:rPr/>
            </w:pPr>
            <w:r>
              <w:rPr/>
              <w:t>5,405,942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Margin interest expense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16,676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33,833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38,853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74,920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75,474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69,214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52,578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130,719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113,800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General, administrative and operating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60,012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76,270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118,395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125,772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Finance and other expenses, net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2,842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6,309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5,792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b/>
              </w:rPr>
            </w:pPr>
            <w:r>
              <w:rPr>
                <w:b/>
              </w:rPr>
              <w:t>Total costs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1,529,621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2,058,616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3,869,562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5,743,456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Income before taxes on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63,497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162,692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106,160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Taxes on income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10,017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5,434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26,808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16,023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53,480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Other comprehensive income (loss)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Items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Cash flow hedges, net of tax</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7,193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4,964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b/>
              </w:rPr>
            </w:pPr>
            <w:r>
              <w:rPr>
                <w:b/>
              </w:rPr>
              <w:t>Other comprehensive income (loss) for the period, net of tax</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4,964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134,276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95,101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240" w:type="dxa"/>
            <w:tcBorders/>
            <w:shd w:fill="CCEEFF" w:val="clear"/>
            <w:vAlign w:val="center"/>
          </w:tcPr>
          <w:p>
            <w:pPr>
              <w:pStyle w:val="TableContents"/>
              <w:bidi w:val="0"/>
              <w:spacing w:before="0" w:after="283"/>
              <w:jc w:val="left"/>
              <w:rPr>
                <w:b/>
              </w:rPr>
            </w:pPr>
            <w:r>
              <w:rPr>
                <w:b/>
              </w:rPr>
              <w:t>Weighted-average shares of common shares used to compute net income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81,711,997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80,274,455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82,924,940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78,007,877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91,709,682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97,003,106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92,843,690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94,595,653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ETORO GROUP LTD. </w:t>
        <w:br/>
        <w:t>CONDENSED CONSOLIDATED STATEMENTS OF CASH FLOWS</w:t>
        <w:br/>
        <w:t>U.S. dollars 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0"/>
        <w:gridCol w:w="60"/>
        <w:gridCol w:w="63"/>
        <w:gridCol w:w="1037"/>
        <w:gridCol w:w="95"/>
        <w:gridCol w:w="60"/>
        <w:gridCol w:w="70"/>
        <w:gridCol w:w="1030"/>
        <w:gridCol w:w="95"/>
        <w:gridCol w:w="60"/>
        <w:gridCol w:w="63"/>
        <w:gridCol w:w="1037"/>
        <w:gridCol w:w="95"/>
        <w:gridCol w:w="60"/>
        <w:gridCol w:w="70"/>
        <w:gridCol w:w="1030"/>
        <w:gridCol w:w="110"/>
      </w:tblGrid>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2025</w:t>
            </w:r>
            <w:r>
              <w:rPr>
                <w:b/>
                <w:position w:val="8"/>
                <w:sz w:val="19"/>
              </w:rPr>
              <w:t>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2025</w:t>
            </w:r>
            <w:r>
              <w:rPr>
                <w:b/>
                <w:position w:val="8"/>
                <w:sz w:val="19"/>
              </w:rPr>
              <w:t>3,4</w:t>
            </w:r>
          </w:p>
        </w:tc>
        <w:tc>
          <w:tcPr>
            <w:tcW w:w="110"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17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90,137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170" w:type="dxa"/>
            <w:tcBorders/>
            <w:shd w:fill="FFFFFF" w:val="clear"/>
            <w:vAlign w:val="center"/>
          </w:tcPr>
          <w:p>
            <w:pPr>
              <w:pStyle w:val="TableContents"/>
              <w:bidi w:val="0"/>
              <w:spacing w:before="0" w:after="283"/>
              <w:jc w:val="left"/>
              <w:rPr>
                <w:b/>
              </w:rPr>
            </w:pPr>
            <w:r>
              <w:rPr>
                <w:b/>
              </w:rPr>
              <w:t>Adjustments to reconcile net income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Adjustments to profit or loss items: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Depreciation, amortization and impairment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5,999</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(6,039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Share-based payment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7,832</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Evaluation of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9,314</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Revaluation of fair value of cryptoassets and counterparties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(31,104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(65,964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68,833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(14,134</w:t>
            </w:r>
          </w:p>
        </w:tc>
        <w:tc>
          <w:tcPr>
            <w:tcW w:w="110" w:type="dxa"/>
            <w:tcBorders/>
            <w:shd w:fill="FFFFFF" w:val="clear"/>
            <w:vAlign w:val="center"/>
          </w:tcPr>
          <w:p>
            <w:pPr>
              <w:pStyle w:val="TableContents"/>
              <w:bidi w:val="0"/>
              <w:spacing w:before="0" w:after="283"/>
              <w:jc w:val="left"/>
              <w:rPr/>
            </w:pPr>
            <w:r>
              <w:rPr/>
              <w:t>)</w:t>
            </w:r>
          </w:p>
        </w:tc>
      </w:tr>
      <w:tr>
        <w:trPr/>
        <w:tc>
          <w:tcPr>
            <w:tcW w:w="5170" w:type="dxa"/>
            <w:tcBorders/>
            <w:shd w:fill="CCEEFF" w:val="clear"/>
            <w:vAlign w:val="center"/>
          </w:tcPr>
          <w:p>
            <w:pPr>
              <w:pStyle w:val="TableContents"/>
              <w:bidi w:val="0"/>
              <w:spacing w:before="0" w:after="283"/>
              <w:jc w:val="left"/>
              <w:rPr/>
            </w:pPr>
            <w:r>
              <w:rPr/>
              <w:t>Non-cash revenue from staking and blockchain rewards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(8,031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(11,512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(16,754</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pPr>
            <w:r>
              <w:rPr/>
              <w:t>Non-cash costs from staking and blockchain rewards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5,672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7,698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11,519</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Finance and other expenses,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5,792</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Taxes on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10,017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5,434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16,023</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(42,564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104,247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25,591</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b/>
              </w:rPr>
            </w:pPr>
            <w:r>
              <w:rPr>
                <w:b/>
              </w:rPr>
              <w:t>Changes in asset and liability items: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Decrease (increase) of counterparties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39,142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23,351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(154,930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(39,833</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pPr>
            <w:r>
              <w:rPr/>
              <w:t>Decrease of cryptoassets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8,368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17,325</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Decrease (increase) of other receivables and prepaid expenses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(8,752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(7,611</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pPr>
            <w:r>
              <w:rPr/>
              <w:t>Decrease (increase) of restricted cash</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(4,442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Decrease of accounts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(2,447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(2,946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(632</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pPr>
            <w:r>
              <w:rPr/>
              <w:t>Increase (decrease) of user and omnibus accounts,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(41,194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24,704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58,734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73,605</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Increase of accrued expenses and other payables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21,769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2,016</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Increase of employee benefit liabilities,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3,116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2,515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(86,621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45,042</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Interest paid, net during the period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(2,376</w:t>
            </w:r>
          </w:p>
        </w:tc>
        <w:tc>
          <w:tcPr>
            <w:tcW w:w="110" w:type="dxa"/>
            <w:tcBorders/>
            <w:shd w:fill="FFFFFF" w:val="clear"/>
            <w:vAlign w:val="center"/>
          </w:tcPr>
          <w:p>
            <w:pPr>
              <w:pStyle w:val="TableContents"/>
              <w:bidi w:val="0"/>
              <w:spacing w:before="0" w:after="283"/>
              <w:jc w:val="left"/>
              <w:rPr/>
            </w:pPr>
            <w:r>
              <w:rPr/>
              <w:t>)</w:t>
            </w:r>
          </w:p>
        </w:tc>
      </w:tr>
      <w:tr>
        <w:trPr/>
        <w:tc>
          <w:tcPr>
            <w:tcW w:w="5170" w:type="dxa"/>
            <w:tcBorders/>
            <w:shd w:fill="CCEEFF" w:val="clear"/>
            <w:vAlign w:val="center"/>
          </w:tcPr>
          <w:p>
            <w:pPr>
              <w:pStyle w:val="TableContents"/>
              <w:bidi w:val="0"/>
              <w:spacing w:before="0" w:after="283"/>
              <w:jc w:val="left"/>
              <w:rPr/>
            </w:pPr>
            <w:r>
              <w:rPr/>
              <w:t>Taxes paid, net during the period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(2,349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(2,159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(8,150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(7,716</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143,182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150,678</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Increase of short-term 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(238,651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(135,000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(376,166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(221,000</w:t>
            </w:r>
          </w:p>
        </w:tc>
        <w:tc>
          <w:tcPr>
            <w:tcW w:w="110" w:type="dxa"/>
            <w:tcBorders/>
            <w:shd w:fill="FFFFFF" w:val="clear"/>
            <w:vAlign w:val="center"/>
          </w:tcPr>
          <w:p>
            <w:pPr>
              <w:pStyle w:val="TableContents"/>
              <w:bidi w:val="0"/>
              <w:spacing w:before="0" w:after="283"/>
              <w:jc w:val="left"/>
              <w:rPr/>
            </w:pPr>
            <w:r>
              <w:rPr/>
              <w:t>)</w:t>
            </w:r>
          </w:p>
        </w:tc>
      </w:tr>
      <w:tr>
        <w:trPr/>
        <w:tc>
          <w:tcPr>
            <w:tcW w:w="5170" w:type="dxa"/>
            <w:tcBorders/>
            <w:shd w:fill="CCEEFF" w:val="clear"/>
            <w:vAlign w:val="center"/>
          </w:tcPr>
          <w:p>
            <w:pPr>
              <w:pStyle w:val="TableContents"/>
              <w:bidi w:val="0"/>
              <w:spacing w:before="0" w:after="283"/>
              <w:jc w:val="left"/>
              <w:rPr/>
            </w:pPr>
            <w:r>
              <w:rPr/>
              <w:t>Decrease of short-term deposits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201,414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313,721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86,000</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Increase of long-term investments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w:t>
            </w:r>
          </w:p>
        </w:tc>
      </w:tr>
      <w:tr>
        <w:trPr/>
        <w:tc>
          <w:tcPr>
            <w:tcW w:w="517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(3,615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(1,281</w:t>
            </w:r>
          </w:p>
        </w:tc>
        <w:tc>
          <w:tcPr>
            <w:tcW w:w="110" w:type="dxa"/>
            <w:tcBorders/>
            <w:shd w:fill="CCEEFF" w:val="clear"/>
            <w:vAlign w:val="center"/>
          </w:tcPr>
          <w:p>
            <w:pPr>
              <w:pStyle w:val="TableContents"/>
              <w:bidi w:val="0"/>
              <w:spacing w:before="0" w:after="283"/>
              <w:jc w:val="left"/>
              <w:rPr/>
            </w:pPr>
            <w:r>
              <w:rPr/>
              <w:t>)</w:t>
            </w:r>
          </w:p>
        </w:tc>
      </w:tr>
      <w:tr>
        <w:trPr/>
        <w:tc>
          <w:tcPr>
            <w:tcW w:w="5170"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(393</w:t>
            </w:r>
          </w:p>
        </w:tc>
        <w:tc>
          <w:tcPr>
            <w:tcW w:w="110" w:type="dxa"/>
            <w:tcBorders/>
            <w:shd w:fill="FFFFFF" w:val="clear"/>
            <w:vAlign w:val="center"/>
          </w:tcPr>
          <w:p>
            <w:pPr>
              <w:pStyle w:val="TableContents"/>
              <w:bidi w:val="0"/>
              <w:spacing w:before="0" w:after="283"/>
              <w:jc w:val="left"/>
              <w:rPr/>
            </w:pPr>
            <w:r>
              <w:rPr/>
              <w:t>)</w:t>
            </w:r>
          </w:p>
        </w:tc>
      </w:tr>
      <w:tr>
        <w:trPr/>
        <w:tc>
          <w:tcPr>
            <w:tcW w:w="5170" w:type="dxa"/>
            <w:tcBorders/>
            <w:shd w:fill="CCEEFF" w:val="clear"/>
            <w:vAlign w:val="center"/>
          </w:tcPr>
          <w:p>
            <w:pPr>
              <w:pStyle w:val="TableContents"/>
              <w:bidi w:val="0"/>
              <w:spacing w:before="0" w:after="283"/>
              <w:jc w:val="left"/>
              <w:rPr/>
            </w:pPr>
            <w:r>
              <w:rPr/>
              <w:t>Business combination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(15,551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(15,551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(58,521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(125,595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(86,516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(137,174</w:t>
            </w:r>
          </w:p>
        </w:tc>
        <w:tc>
          <w:tcPr>
            <w:tcW w:w="110" w:type="dxa"/>
            <w:tcBorders/>
            <w:shd w:fill="FFFFFF" w:val="clear"/>
            <w:vAlign w:val="center"/>
          </w:tcPr>
          <w:p>
            <w:pPr>
              <w:pStyle w:val="TableContents"/>
              <w:bidi w:val="0"/>
              <w:spacing w:before="0" w:after="283"/>
              <w:jc w:val="left"/>
              <w:rPr>
                <w:b/>
              </w:rPr>
            </w:pPr>
            <w:r>
              <w:rPr>
                <w:b/>
              </w:rPr>
              <w:t>)</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Exercise of options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9,539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3,433</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Repayment of lease liability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(2,906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(2,218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170" w:type="dxa"/>
            <w:tcBorders/>
            <w:shd w:fill="CCEEFF" w:val="clear"/>
            <w:vAlign w:val="center"/>
          </w:tcPr>
          <w:p>
            <w:pPr>
              <w:pStyle w:val="TableContents"/>
              <w:bidi w:val="0"/>
              <w:spacing w:before="0" w:after="283"/>
              <w:jc w:val="left"/>
              <w:rPr/>
            </w:pPr>
            <w:r>
              <w:rPr/>
              <w:t>Issuance of class A common share upon initial public offering, net of underwriting discounts, commissions and other issuance costs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378,818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378,818</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Purchase of treasury shares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(88,006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(189,108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380,900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(182,475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380,033</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Exchange differences on balances of cash and cash equivalents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11,549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18,928</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rPr>
            </w:pPr>
            <w:r>
              <w:rPr>
                <w:b/>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(101,487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(126,725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412,465</w:t>
            </w:r>
          </w:p>
        </w:tc>
        <w:tc>
          <w:tcPr>
            <w:tcW w:w="110"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1,047,403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665,111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pPr>
            <w:r>
              <w:rPr/>
              <w:t>1,072,641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FFFFFF" w:val="clear"/>
            <w:tcMar>
              <w:bottom w:w="28" w:type="dxa"/>
            </w:tcMar>
            <w:vAlign w:val="center"/>
          </w:tcPr>
          <w:p>
            <w:pPr>
              <w:pStyle w:val="TableContents"/>
              <w:bidi w:val="0"/>
              <w:spacing w:before="0" w:after="283"/>
              <w:jc w:val="right"/>
              <w:rPr/>
            </w:pPr>
            <w:r>
              <w:rPr/>
              <w:t>575,395</w:t>
            </w:r>
          </w:p>
        </w:tc>
        <w:tc>
          <w:tcPr>
            <w:tcW w:w="110"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b/>
              </w:rPr>
            </w:pPr>
            <w:r>
              <w:rPr>
                <w:b/>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945,916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987,860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945,916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987,860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pPr>
            <w:r>
              <w:rPr/>
              <w:t>The comparative financial information has been adjusted to reflect the change in accounting policy regarding the classification of 5M$ USDC as cash equivalents.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both"/>
              <w:rPr/>
            </w:pPr>
            <w:r>
              <w:rPr/>
              <w:t>The Company reclassified certain items in the unaudited interim condensed consolidated statements of cash flows within the cash flows from operating activities section for the comparative period June 30, 2025. This reclassification had no impact on the total cash flows from operating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GROUP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METRICS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Metrics and Key Performance Indicators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and the accompanying tables contain financial measures that are not calculated in accordance with International Financial Reporting Standards nor with Generally Accepted Accounting Principles (collectively “GAAP”) metrics, including Adjusted EBITDA, Adjusted Net Income, and Adjusted Diluted EPS. The inclusion of the non-GAAP financial information is not intended to be considered in isolation or as a substitute for the financial information prepared and presented in accordance with GAAP. etoro believes these non-GAAP financial measures provide important supplemental information to management regarding financial and business trends used in assessing its results of operations. etoro believes excluding specified items provides a more meaningful comparison to the corresponding reporting periods and internal budgets and forecasts, assists investors in performing analysis that is consistent with financial models developed by investors and research analysts, provides management with a more relevant measure of operating performance and is more useful in assessing management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etoro urges its investors to review the reconciliations of the non-GAAP financial measures included in this press release to the most directly comparable GAAP financial measure set forth herein, and not to rely on any single financial measure to evaluate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key performance indicators that etoro’s management uses to help evaluate the business, measure its performance, identify trends, prepare financial projections and make business decisions. etoro’s key performance indicators include Funded Accounts, Assets Under Administration and Net Contribution. Definitions of performance indicators can be found in this press release.</w:t>
      </w:r>
    </w:p>
    <w:p>
      <w:pPr>
        <w:pStyle w:val="TextBody"/>
        <w:bidi w:val="0"/>
        <w:spacing w:before="0" w:after="0"/>
        <w:jc w:val="left"/>
        <w:rPr>
          <w:caps w:val="false"/>
          <w:smallCaps w:val="false"/>
        </w:rPr>
      </w:pPr>
      <w:r>
        <w:rPr>
          <w:caps w:val="false"/>
          <w:smallCaps w:val="false"/>
        </w:rPr>
        <w:t> </w:t>
      </w:r>
    </w:p>
    <w:tbl>
      <w:tblPr>
        <w:tblW w:w="9098" w:type="dxa"/>
        <w:jc w:val="left"/>
        <w:tblInd w:w="0" w:type="dxa"/>
        <w:tblLayout w:type="fixed"/>
        <w:tblCellMar>
          <w:top w:w="0" w:type="dxa"/>
          <w:left w:w="0" w:type="dxa"/>
          <w:bottom w:w="0" w:type="dxa"/>
          <w:right w:w="0" w:type="dxa"/>
        </w:tblCellMar>
      </w:tblPr>
      <w:tblGrid>
        <w:gridCol w:w="4130"/>
        <w:gridCol w:w="60"/>
        <w:gridCol w:w="89"/>
        <w:gridCol w:w="1011"/>
        <w:gridCol w:w="79"/>
        <w:gridCol w:w="79"/>
        <w:gridCol w:w="89"/>
        <w:gridCol w:w="1011"/>
        <w:gridCol w:w="60"/>
        <w:gridCol w:w="60"/>
        <w:gridCol w:w="76"/>
        <w:gridCol w:w="1024"/>
        <w:gridCol w:w="95"/>
        <w:gridCol w:w="60"/>
        <w:gridCol w:w="76"/>
        <w:gridCol w:w="1024"/>
        <w:gridCol w:w="7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5"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9"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53,480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90,137</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1,127</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6,309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3,218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5,792</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10,017</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16,023</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Share-base payment expense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6,366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10,434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7,832</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Depreciation, amortization, and impairment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3,311</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2,988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5,999</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Employee non-cash expense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328</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8,090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5,447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7,040</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Transaction related cost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8,379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10,470</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Other expenses (income), net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3,493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pPr>
            <w:r>
              <w:rPr/>
              <w:t>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(1,684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8,848</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78,122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186,634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152,141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GROUP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TO ADJUSTED NET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3620"/>
        <w:gridCol w:w="60"/>
        <w:gridCol w:w="60"/>
        <w:gridCol w:w="1100"/>
        <w:gridCol w:w="95"/>
        <w:gridCol w:w="60"/>
        <w:gridCol w:w="60"/>
        <w:gridCol w:w="1100"/>
        <w:gridCol w:w="95"/>
        <w:gridCol w:w="60"/>
        <w:gridCol w:w="60"/>
        <w:gridCol w:w="1100"/>
        <w:gridCol w:w="95"/>
        <w:gridCol w:w="60"/>
        <w:gridCol w:w="60"/>
        <w:gridCol w:w="1100"/>
        <w:gridCol w:w="110"/>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90,137</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Share based compensation and ESPP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7,832</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Employee non-cash expense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7,040</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Transaction related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10,470</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expenses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9,314</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b/>
              </w:rPr>
            </w:pPr>
            <w:r>
              <w:rPr>
                <w:b/>
              </w:rPr>
              <w:t>Adjusted net income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64,564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58,529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150,876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126,478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Tax impact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(5,485</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b/>
              </w:rPr>
            </w:pPr>
            <w:r>
              <w:rPr>
                <w:b/>
              </w:rPr>
              <w:t>Adjusted 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62,815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148,406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120,993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Basic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81,711,997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80,274,455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82,924,940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78,007,877</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Diluted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91,709,682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97,003,106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92,843,690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94,595,653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Basic Non - GAAP EPS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Diluted Non - GAAP EPS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Basic GAAP EPS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Diluted GAAP EPS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of Certain Metrics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xml:space="preserve"> Adjusted EBITDA is a non-GAAP financial metric that we define as net income adjusted to exclude finance and other expenses, net, taxes on income, share-based payment expense, depreciation and amortization, employee non-cash expense, one-time transaction costs and other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Adjusted EBITDA Margin: </w:t>
      </w:r>
      <w:r>
        <w:rPr>
          <w:rFonts w:ascii="Times New Roman;Times;Serif" w:hAnsi="Times New Roman;Times;Serif"/>
          <w:b w:val="false"/>
          <w:i w:val="false"/>
          <w:caps w:val="false"/>
          <w:smallCaps w:val="false"/>
          <w:sz w:val="20"/>
        </w:rPr>
        <w:t>Adjusted EBITDA Margin is a non-GAAP financial metric that we define as Adjusted EBITDA dividing by Net Contribution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Adjusted Diluted Earnings Per Share (Adjusted diluted EPS): </w:t>
      </w:r>
      <w:r>
        <w:rPr>
          <w:rFonts w:ascii="Times New Roman;Times;Serif" w:hAnsi="Times New Roman;Times;Serif"/>
          <w:b w:val="false"/>
          <w:i w:val="false"/>
          <w:caps w:val="false"/>
          <w:smallCaps w:val="false"/>
          <w:sz w:val="20"/>
        </w:rPr>
        <w:t>Adjusted diluted EPS is a non-GAAP financial metric and is calculated by dividing the Adjusted Net Income attributable to common shareholders by the diluted shares outstanding during the period. Adjusted diluted EPS excludes the impact of the same non-recurring or non-operational items to provide investors with a normalized measure of profitability on a per-share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Adjusted Net Income: </w:t>
      </w:r>
      <w:r>
        <w:rPr>
          <w:rFonts w:ascii="Times New Roman;Times;Serif" w:hAnsi="Times New Roman;Times;Serif"/>
          <w:b w:val="false"/>
          <w:i w:val="false"/>
          <w:caps w:val="false"/>
          <w:smallCaps w:val="false"/>
          <w:sz w:val="20"/>
        </w:rPr>
        <w:t>Adjusted Net Income refers to a company’s net income after making adjustments for non-recurring, one-time, or non-cash items such as restructuring charges, asset impairments, acquisition-related expenses, or gains/losses from discontinued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Assets under administration (AUA):</w:t>
      </w:r>
      <w:r>
        <w:rPr>
          <w:rFonts w:ascii="Times New Roman;Times;Serif" w:hAnsi="Times New Roman;Times;Serif"/>
          <w:b w:val="false"/>
          <w:i w:val="false"/>
          <w:caps w:val="false"/>
          <w:smallCaps w:val="false"/>
          <w:sz w:val="20"/>
        </w:rPr>
        <w:t xml:space="preserve"> AUA reflects the aggregate fair value of assets held by users within the platform, including those held by third-party partners for execution or custody services, categorized as follows:</w:t>
      </w:r>
    </w:p>
    <w:p>
      <w:pPr>
        <w:pStyle w:val="TextBody"/>
        <w:bidi w:val="0"/>
        <w:spacing w:before="0" w:after="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75"/>
        <w:gridCol w:w="170"/>
        <w:gridCol w:w="73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Includes all cryptocurrencies and users’ crypto assets held in etoro digital wallets.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r>
    </w:tbl>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Equities: Includes stocks, ETFs, and assets managed under the Spaceship program.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Includes customers’ uninvested cash (e.g., cash balances, eMoney balances, in-process cashouts), as well as cash used for margin or posted as collateral for leveraged positions.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Funded Accounts:</w:t>
      </w:r>
      <w:r>
        <w:rPr>
          <w:rFonts w:ascii="Times New Roman;Times;Serif" w:hAnsi="Times New Roman;Times;Serif"/>
          <w:b w:val="false"/>
          <w:i w:val="false"/>
          <w:caps w:val="false"/>
          <w:smallCaps w:val="false"/>
          <w:sz w:val="20"/>
        </w:rPr>
        <w:t xml:space="preserve"> Funded Accounts are users who have completed onboarding requirements, activated their account, deposited funds, executed at least one trade at any time and have a positive account balance whether invested or uninvested. For Zengo and Bit2C users, Funded Accounts are defined as users with a positive account balance. Funded Accounts represent the deepest level of our user acquisition funnel and are the users from whom we generate total commission.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Interest Earning Assets: </w:t>
      </w:r>
      <w:r>
        <w:rPr>
          <w:rFonts w:ascii="Times New Roman;Times;Serif" w:hAnsi="Times New Roman;Times;Serif"/>
          <w:b w:val="false"/>
          <w:i w:val="false"/>
          <w:caps w:val="false"/>
          <w:smallCaps w:val="false"/>
          <w:sz w:val="20"/>
        </w:rPr>
        <w:t>Interest Earning Assets are the average monthly balances of users’ cash balances, corporate cash, users’ total leveraged positions and stakeable cryptoassets.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Invested amount per trade:</w:t>
      </w:r>
      <w:r>
        <w:rPr>
          <w:rFonts w:ascii="Times New Roman;Times;Serif" w:hAnsi="Times New Roman;Times;Serif"/>
          <w:b w:val="false"/>
          <w:i w:val="false"/>
          <w:caps w:val="false"/>
          <w:smallCaps w:val="false"/>
          <w:sz w:val="20"/>
        </w:rPr>
        <w:t xml:space="preserve"> The total invested amount divided by the total number of trades. For reporting purposes, we present this measure separately for capital markets (equities, commodities, and currencies) and for cryptoassets, in order to highlight trends across the two categories, given their unique characteristics.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Contribution: </w:t>
      </w:r>
      <w:r>
        <w:rPr>
          <w:rFonts w:ascii="Times New Roman;Times;Serif" w:hAnsi="Times New Roman;Times;Serif"/>
          <w:b w:val="false"/>
          <w:i w:val="false"/>
          <w:caps w:val="false"/>
          <w:smallCaps w:val="false"/>
          <w:sz w:val="20"/>
        </w:rPr>
        <w:t>Net Contribution reflects Total revenue and income, less the Cost of revenue from cryptoassets and Margin interest expense. We use Net Contribution to evaluate the net contributions of our users’ activity on our platform before considering the overhead costs associated with our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Trading Contribution (Equities, Commodities and Currencies) is equal to our Net trading income from equities, commodities and currencies.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Trading Contribution (Cryptoassets) is equal to Revenue from cryptoassets plus Net trading income (loss) from cryptoasset derivatives less Cost of revenue from cryptoassets, excluding the net contributions from blockchain rewards and staking activity.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Interest Contribution represents Net interest contribution from users plus Other interest income plus the net contributions of staking activity, less Margin interest expense.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Subscriptions and Other is the remainder of Currency conversion and other income not attributable to etoro Money plus the net contributions of blockchain rewards.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xml:space="preserve"> Net income represents the company’s total earnings or profit for a given period, calculated as total revenue minus all expenses, including operating costs, depreciation, interest, taxes, and other income or expenses. It reflects the company’s overall profitability according to GAAP standards.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Money Transfers:</w:t>
      </w:r>
      <w:r>
        <w:rPr>
          <w:rFonts w:ascii="Times New Roman;Times;Serif" w:hAnsi="Times New Roman;Times;Serif"/>
          <w:b w:val="false"/>
          <w:i w:val="false"/>
          <w:caps w:val="false"/>
          <w:smallCaps w:val="false"/>
          <w:sz w:val="20"/>
        </w:rPr>
        <w:t xml:space="preserve"> Total money transfers are the cumulative value across the respective period of user deposits, withdrawals, and cross-currency trade funding via etoro Money IBAN.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Trades</w:t>
      </w:r>
      <w:r>
        <w:rPr>
          <w:rFonts w:ascii="Times New Roman;Times;Serif" w:hAnsi="Times New Roman;Times;Serif"/>
          <w:b w:val="false"/>
          <w:i w:val="false"/>
          <w:caps w:val="false"/>
          <w:smallCaps w:val="false"/>
          <w:sz w:val="20"/>
        </w:rPr>
        <w:t>: Trades represent the total number of orders that were placed by users and executed during the applicable period. Trades include self-directed and copy trades, and each trade reflects either the opening or closing of a position by a user.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our financial outlook, market positioning, development plans, growth strategy, the implementation and anticipated benefits of the share repurchase program and the consummation and anticipated benefits of the pending acquisition of TradeZero.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to artificial intelligence (“AI”); the ability to maintain the listing of our securities on Nasdaq; changes in general economic or political conditions; changes to accounting principles and guidelines; unexpected costs or expenses; and other factors described in “Risk Factors” in our Annual Report on Form 20-F for the fiscal year ended December 31, 2025, filed with the Securities and Exchange Commission (“SEC”) on March 2, 2026, as such factors may be updated from time to time in etoro’s filings with the SEC, which are, or will be, accessible on the SEC’s website at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features vary by jurisdiction. The RIA license was granted to etoro USA Advisors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etoro Group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93318/000121390025045960/ea0242347-s8_etoro.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4647</Words>
  <Characters>26860</Characters>
  <CharactersWithSpaces>32625</CharactersWithSpaces>
  <Paragraphs>2809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