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Shemesh Lior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 MEDINAT HAYEHUDIM</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eToro Group Ltd.</w:t>
              </w:r>
            </w:hyperlink>
            <w:r>
              <w:rPr/>
              <w:t xml:space="preserve"> [ </w:t>
            </w:r>
            <w:r>
              <w:rPr>
                <w:rFonts w:ascii="Times;serif" w:hAnsi="Times;serif"/>
                <w:color w:val="0000FF"/>
                <w:sz w:val="24"/>
                <w:shd w:fill="FFFFFF" w:val="clear"/>
              </w:rPr>
              <w:t>ETOR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each of which represents a contingent right to receive one Class A common shares of eToro Group Ltd. The RSUs shall fully vest on April 1, 2027, subject to the Reporting Person's continued service to the Company or its subsidiaries through the vesting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Meirav Shemesh on behalf of Oppenheimer Israel,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6257" TargetMode="External"/><Relationship Id="rId5" Type="http://schemas.openxmlformats.org/officeDocument/2006/relationships/hyperlink" Target="http://www.sec.gov/cgi-bin/browse-edgar?action=getcompany&amp;CIK=00014933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3358</Characters>
  <CharactersWithSpaces>3913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