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POLITI SANTO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SPARK CAPITAL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 59TH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eToro Group Ltd.</w:t>
              </w:r>
            </w:hyperlink>
            <w:r>
              <w:rPr/>
              <w:t xml:space="preserve"> [ </w:t>
            </w:r>
            <w:r>
              <w:rPr>
                <w:rFonts w:ascii="Times;serif" w:hAnsi="Times;serif"/>
                <w:color w:val="0000FF"/>
                <w:sz w:val="24"/>
                <w:shd w:fill="FFFFFF" w:val="clear"/>
              </w:rPr>
              <w:t>ETOR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76"/>
        <w:gridCol w:w="900"/>
        <w:gridCol w:w="772"/>
        <w:gridCol w:w="597"/>
        <w:gridCol w:w="335"/>
        <w:gridCol w:w="1179"/>
        <w:gridCol w:w="419"/>
        <w:gridCol w:w="876"/>
        <w:gridCol w:w="1103"/>
        <w:gridCol w:w="953"/>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7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7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3,559,007</w:t>
            </w:r>
            <w:r>
              <w:rPr>
                <w:rFonts w:ascii="Times;serif" w:hAnsi="Times;serif"/>
                <w:color w:val="008000"/>
                <w:position w:val="7"/>
                <w:sz w:val="16"/>
                <w:sz w:val="20"/>
                <w:shd w:fill="FFFFFF" w:val="clear"/>
              </w:rPr>
              <w:t>(1)</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Spark Capital II, L.P.</w:t>
            </w:r>
            <w:r>
              <w:rPr>
                <w:rFonts w:ascii="Times;serif" w:hAnsi="Times;serif"/>
                <w:color w:val="008000"/>
                <w:position w:val="7"/>
                <w:sz w:val="16"/>
                <w:sz w:val="20"/>
                <w:shd w:fill="FFFFFF" w:val="clear"/>
              </w:rPr>
              <w:t>(2)</w:t>
            </w:r>
          </w:p>
        </w:tc>
      </w:tr>
      <w:tr>
        <w:trPr/>
        <w:tc>
          <w:tcPr>
            <w:tcW w:w="19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23,280</w:t>
            </w:r>
            <w:r>
              <w:rPr>
                <w:rFonts w:ascii="Times;serif" w:hAnsi="Times;serif"/>
                <w:color w:val="008000"/>
                <w:position w:val="7"/>
                <w:sz w:val="16"/>
                <w:sz w:val="20"/>
                <w:shd w:fill="FFFFFF" w:val="clear"/>
              </w:rPr>
              <w:t>(1)</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Spark Capital Founders' Fund II, L.P.</w:t>
            </w:r>
            <w:r>
              <w:rPr>
                <w:rFonts w:ascii="Times;serif" w:hAnsi="Times;serif"/>
                <w:color w:val="008000"/>
                <w:position w:val="7"/>
                <w:sz w:val="16"/>
                <w:sz w:val="20"/>
                <w:shd w:fill="FFFFFF" w:val="clear"/>
              </w:rPr>
              <w:t>(2)</w:t>
            </w:r>
          </w:p>
        </w:tc>
      </w:tr>
      <w:tr>
        <w:trPr/>
        <w:tc>
          <w:tcPr>
            <w:tcW w:w="19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5,783</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5,783</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Spark Capital Partners, LLC</w:t>
            </w:r>
          </w:p>
        </w:tc>
      </w:tr>
      <w:tr>
        <w:trPr/>
        <w:tc>
          <w:tcPr>
            <w:tcW w:w="19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5,783</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28.013</w:t>
            </w:r>
            <w:r>
              <w:rPr>
                <w:rFonts w:ascii="Times;serif" w:hAnsi="Times;serif"/>
                <w:color w:val="008000"/>
                <w:position w:val="7"/>
                <w:sz w:val="16"/>
                <w:sz w:val="20"/>
                <w:shd w:fill="FFFFFF" w:val="clear"/>
              </w:rPr>
              <w:t>(4)</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Spark Capital Partners, LLC</w:t>
            </w:r>
          </w:p>
        </w:tc>
      </w:tr>
      <w:tr>
        <w:trPr/>
        <w:tc>
          <w:tcPr>
            <w:tcW w:w="197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2,107</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distribution in kind by each of Spark Capital II, L.P. and Spark Capital Founders' Fund II, L.P. to its partners. The reporting person no longer has any pecuniary interest in, or voting or dispositive power over, the securities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 securities reported herein as indirectly held by Spark Capital II, L.P. and Spark Capital Founders' Fund II, L.P., except to the extent of such Reporting Person's pecuniary interest therein, and this report shall not be deemed an admission that the Reporting Person is the beneficial owner of such securities for purposes of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received by Spark Capital Partners, LLC in a distribution in kind from Spark Capital II, L.P. to its partners. The reporting person may be deemed to share voting, investment and dispositive power with respect to these securities. The reporting person disclaims beneficial ownership of the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 reporting person undertakes to provide full information, regarding the number of shares and prices at which the transaction was effectuated, upon request.</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Santo Politi by: Alexa Lyons,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1711" TargetMode="External"/><Relationship Id="rId5" Type="http://schemas.openxmlformats.org/officeDocument/2006/relationships/hyperlink" Target="http://www.sec.gov/cgi-bin/browse-edgar?action=getcompany&amp;CIK=000149331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829</Words>
  <Characters>4422</Characters>
  <CharactersWithSpaces>5150</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