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Stepak Avner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JABOTINSKY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BNEI BRAK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eToro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0"/>
        <w:gridCol w:w="904"/>
        <w:gridCol w:w="774"/>
        <w:gridCol w:w="600"/>
        <w:gridCol w:w="349"/>
        <w:gridCol w:w="931"/>
        <w:gridCol w:w="454"/>
        <w:gridCol w:w="617"/>
        <w:gridCol w:w="1163"/>
        <w:gridCol w:w="998"/>
        <w:gridCol w:w="108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33,848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62,550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Shira 10 Strategies Ltd.</w:t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46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33,848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Shira 10 Strategies Ltd.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conversion of Class B Common Shares into Class A Common shares on a one-for-one basis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639" TargetMode="External"/><Relationship Id="rId5" Type="http://schemas.openxmlformats.org/officeDocument/2006/relationships/hyperlink" Target="http://www.sec.gov/cgi-bin/browse-edgar?action=getcompany&amp;CIK=0001493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3289</Characters>
  <CharactersWithSpaces>3822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