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eToro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Harel Insurance Investments &amp; Financial Services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5,858,948.00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5,858,948.00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5,858,948.00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regard to Rows (6), (8) and (9), please see Item 4. Row (11) is based on 66,806,610 Class A common shares issued and outstanding as of April 15, 2026 (as reported by the Issuer in Exhibit 99.1 to its Report on Form 6-K filed with the Securities and Exchange Commission on April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eToro Group Ltd.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Sheshet Hayamim Street, Bnei Brak, Israel, 5120261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Harel Insurance Investments &amp; Financial Services Ltd.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 Aba Hillel Street, Ramat Gan 52118, Israel</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Israel</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Of the 5,858,948 Class A common shares reported in this Statement as beneficially owned by the Reporting Person, (i) 5,703,448 Class A common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and (ii) 155,500 Class A common shares are beneficially held for its own account. Consequently, this Statement shall not be construed as an admission by the Reporting Person that it is the beneficial owner of more than 155,500 Class A common shares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of the Reporting Person above.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of the Reporting Person above and note in Item 4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of the Reporting Person above and note in Item 4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51"/>
        <w:gridCol w:w="5054"/>
      </w:tblGrid>
      <w:tr>
        <w:trPr/>
        <w:tc>
          <w:tcPr>
            <w:tcW w:w="5151" w:type="dxa"/>
            <w:tcBorders/>
            <w:vAlign w:val="center"/>
          </w:tcPr>
          <w:p>
            <w:pPr>
              <w:pStyle w:val="TableContents"/>
              <w:bidi w:val="0"/>
              <w:spacing w:before="0" w:after="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0"/>
                    <w:jc w:val="left"/>
                    <w:rPr/>
                  </w:pPr>
                  <w:r>
                    <w:rPr/>
                    <w:t>Harel Insurance Investments &amp; Financial Services Ltd.</w:t>
                  </w:r>
                </w:p>
              </w:tc>
            </w:tr>
          </w:tbl>
          <w:p>
            <w:pPr>
              <w:pStyle w:val="TableContents"/>
              <w:bidi w:val="0"/>
              <w:spacing w:before="0" w:after="283"/>
              <w:jc w:val="left"/>
              <w:rPr/>
            </w:pPr>
            <w:r>
              <w:rPr/>
            </w:r>
          </w:p>
        </w:tc>
        <w:tc>
          <w:tcPr>
            <w:tcW w:w="50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Alon Kaufman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Alon Kaufman/Vice 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953</Words>
  <Characters>4853</Characters>
  <CharactersWithSpaces>5797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