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0002081054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eToro Group Ltd.</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001-42647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30 SHESHET HAYAMIM STREET</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BNEI BRAK</w:t>
      </w:r>
    </w:p>
    <w:p>
      <w:pPr>
        <w:ind w:left="10"/>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5120261</w:t>
      </w:r>
    </w:p>
    <w:p>
      <w:pPr>
        <w:spacing w:after="0" w:line="20" w:lineRule="exact"/>
        <w:rPr>
          <w:sz w:val="24"/>
          <w:szCs w:val="24"/>
          <w:color w:val="auto"/>
        </w:rPr>
      </w:pPr>
    </w:p>
    <w:p>
      <w:pPr>
        <w:ind w:left="10" w:right="2520" w:hanging="10"/>
        <w:spacing w:after="0" w:line="281" w:lineRule="auto"/>
        <w:tabs>
          <w:tab w:leader="none" w:pos="388"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73-265-6600 Ber Hedva</w:t>
      </w:r>
    </w:p>
    <w:p>
      <w:pPr>
        <w:spacing w:after="0" w:line="2"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55160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2315616.80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68647904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06/01/2026 Shares acquired</w:t>
            </w:r>
          </w:p>
        </w:tc>
        <w:tc>
          <w:tcPr>
            <w:tcW w:w="21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eToro Group</w:t>
            </w:r>
          </w:p>
        </w:tc>
        <w:tc>
          <w:tcPr>
            <w:tcW w:w="184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12000</w:t>
            </w:r>
          </w:p>
        </w:tc>
        <w:tc>
          <w:tcPr>
            <w:tcW w:w="2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06/01/2026 Cash payment</w:t>
            </w: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Stocks</w:t>
            </w:r>
          </w:p>
        </w:tc>
        <w:tc>
          <w:tcPr>
            <w:tcW w:w="294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upon exercise of</w:t>
            </w:r>
          </w:p>
        </w:tc>
        <w:tc>
          <w:tcPr>
            <w:tcW w:w="21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Ltd.</w:t>
            </w:r>
          </w:p>
        </w:tc>
        <w:tc>
          <w:tcPr>
            <w:tcW w:w="1840" w:type="dxa"/>
            <w:vAlign w:val="bottom"/>
          </w:tcPr>
          <w:p>
            <w:pPr>
              <w:spacing w:after="0"/>
              <w:rPr>
                <w:sz w:val="21"/>
                <w:szCs w:val="21"/>
                <w:color w:val="auto"/>
              </w:rPr>
            </w:pPr>
          </w:p>
        </w:tc>
        <w:tc>
          <w:tcPr>
            <w:tcW w:w="28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w w:val="97"/>
              </w:rPr>
              <w:t>upon exercise of</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94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employee stock</w:t>
            </w:r>
          </w:p>
        </w:tc>
        <w:tc>
          <w:tcPr>
            <w:tcW w:w="2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8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stock options</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29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options</w:t>
            </w:r>
          </w:p>
        </w:tc>
        <w:tc>
          <w:tcPr>
            <w:tcW w:w="21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3"/>
                <w:szCs w:val="23"/>
                <w:color w:val="auto"/>
              </w:rPr>
            </w:pPr>
          </w:p>
        </w:tc>
        <w:tc>
          <w:tcPr>
            <w:tcW w:w="294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Shares acquired</w:t>
            </w:r>
          </w:p>
        </w:tc>
        <w:tc>
          <w:tcPr>
            <w:tcW w:w="21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286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Cash payment</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2940" w:type="dxa"/>
            <w:vAlign w:val="bottom"/>
            <w:vMerge w:val="restart"/>
          </w:tcPr>
          <w:p>
            <w:pPr>
              <w:ind w:left="1380"/>
              <w:spacing w:after="0" w:line="217" w:lineRule="exact"/>
              <w:rPr>
                <w:sz w:val="20"/>
                <w:szCs w:val="20"/>
                <w:color w:val="auto"/>
              </w:rPr>
            </w:pPr>
            <w:r>
              <w:rPr>
                <w:rFonts w:ascii="Times New Roman" w:cs="Times New Roman" w:eastAsia="Times New Roman" w:hAnsi="Times New Roman"/>
                <w:sz w:val="22"/>
                <w:szCs w:val="22"/>
                <w:color w:val="auto"/>
              </w:rPr>
              <w:t>upon exercise of</w:t>
            </w:r>
          </w:p>
        </w:tc>
        <w:tc>
          <w:tcPr>
            <w:tcW w:w="2180" w:type="dxa"/>
            <w:vAlign w:val="bottom"/>
            <w:vMerge w:val="restart"/>
          </w:tcPr>
          <w:p>
            <w:pPr>
              <w:ind w:left="140"/>
              <w:spacing w:after="0" w:line="217" w:lineRule="exact"/>
              <w:rPr>
                <w:sz w:val="20"/>
                <w:szCs w:val="20"/>
                <w:color w:val="auto"/>
              </w:rPr>
            </w:pPr>
            <w:r>
              <w:rPr>
                <w:rFonts w:ascii="Times New Roman" w:cs="Times New Roman" w:eastAsia="Times New Roman" w:hAnsi="Times New Roman"/>
                <w:sz w:val="22"/>
                <w:szCs w:val="22"/>
                <w:color w:val="auto"/>
              </w:rPr>
              <w:t>eToro Group</w:t>
            </w:r>
          </w:p>
        </w:tc>
        <w:tc>
          <w:tcPr>
            <w:tcW w:w="1840" w:type="dxa"/>
            <w:vAlign w:val="bottom"/>
          </w:tcPr>
          <w:p>
            <w:pPr>
              <w:spacing w:after="0"/>
              <w:rPr>
                <w:sz w:val="13"/>
                <w:szCs w:val="13"/>
                <w:color w:val="auto"/>
              </w:rPr>
            </w:pPr>
          </w:p>
        </w:tc>
        <w:tc>
          <w:tcPr>
            <w:tcW w:w="2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2940" w:type="dxa"/>
            <w:vAlign w:val="bottom"/>
            <w:vMerge w:val="continue"/>
          </w:tcPr>
          <w:p>
            <w:pPr>
              <w:spacing w:after="0"/>
              <w:rPr>
                <w:sz w:val="4"/>
                <w:szCs w:val="4"/>
                <w:color w:val="auto"/>
              </w:rPr>
            </w:pPr>
          </w:p>
        </w:tc>
        <w:tc>
          <w:tcPr>
            <w:tcW w:w="2180" w:type="dxa"/>
            <w:vAlign w:val="bottom"/>
            <w:vMerge w:val="continue"/>
          </w:tcPr>
          <w:p>
            <w:pPr>
              <w:spacing w:after="0"/>
              <w:rPr>
                <w:sz w:val="4"/>
                <w:szCs w:val="4"/>
                <w:color w:val="auto"/>
              </w:rPr>
            </w:pPr>
          </w:p>
        </w:tc>
        <w:tc>
          <w:tcPr>
            <w:tcW w:w="1840" w:type="dxa"/>
            <w:vAlign w:val="bottom"/>
          </w:tcPr>
          <w:p>
            <w:pPr>
              <w:spacing w:after="0"/>
              <w:rPr>
                <w:sz w:val="4"/>
                <w:szCs w:val="4"/>
                <w:color w:val="auto"/>
              </w:rPr>
            </w:pPr>
          </w:p>
        </w:tc>
        <w:tc>
          <w:tcPr>
            <w:tcW w:w="2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Stocks</w:t>
            </w:r>
          </w:p>
        </w:tc>
        <w:tc>
          <w:tcPr>
            <w:tcW w:w="2940" w:type="dxa"/>
            <w:vAlign w:val="bottom"/>
          </w:tcPr>
          <w:p>
            <w:pPr>
              <w:ind w:left="340"/>
              <w:spacing w:after="0" w:line="243" w:lineRule="exact"/>
              <w:rPr>
                <w:sz w:val="20"/>
                <w:szCs w:val="20"/>
                <w:color w:val="auto"/>
              </w:rPr>
            </w:pPr>
            <w:r>
              <w:rPr>
                <w:rFonts w:ascii="Times New Roman" w:cs="Times New Roman" w:eastAsia="Times New Roman" w:hAnsi="Times New Roman"/>
                <w:sz w:val="28"/>
                <w:szCs w:val="28"/>
                <w:color w:val="auto"/>
                <w:vertAlign w:val="superscript"/>
              </w:rPr>
              <w:t>06/01/2026</w:t>
            </w:r>
            <w:r>
              <w:rPr>
                <w:rFonts w:ascii="Times New Roman" w:cs="Times New Roman" w:eastAsia="Times New Roman" w:hAnsi="Times New Roman"/>
                <w:sz w:val="16"/>
                <w:szCs w:val="16"/>
                <w:color w:val="auto"/>
              </w:rPr>
              <w:t xml:space="preserve"> employee stock</w:t>
            </w:r>
          </w:p>
        </w:tc>
        <w:tc>
          <w:tcPr>
            <w:tcW w:w="21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Ltd.</w:t>
            </w:r>
          </w:p>
        </w:tc>
        <w:tc>
          <w:tcPr>
            <w:tcW w:w="1840" w:type="dxa"/>
            <w:vAlign w:val="bottom"/>
          </w:tcPr>
          <w:p>
            <w:pPr>
              <w:jc w:val="right"/>
              <w:ind w:right="272"/>
              <w:spacing w:after="0" w:line="243" w:lineRule="exact"/>
              <w:rPr>
                <w:sz w:val="20"/>
                <w:szCs w:val="20"/>
                <w:color w:val="auto"/>
              </w:rPr>
            </w:pPr>
            <w:r>
              <w:rPr>
                <w:rFonts w:ascii="Times New Roman" w:cs="Times New Roman" w:eastAsia="Times New Roman" w:hAnsi="Times New Roman"/>
                <w:sz w:val="22"/>
                <w:szCs w:val="22"/>
                <w:color w:val="auto"/>
              </w:rPr>
              <w:t>43160</w:t>
            </w:r>
          </w:p>
        </w:tc>
        <w:tc>
          <w:tcPr>
            <w:tcW w:w="286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w w:val="97"/>
              </w:rPr>
              <w:t>06/01/2026 upon exercise of</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2940" w:type="dxa"/>
            <w:vAlign w:val="bottom"/>
            <w:vMerge w:val="restart"/>
          </w:tcPr>
          <w:p>
            <w:pPr>
              <w:ind w:left="1380"/>
              <w:spacing w:after="0"/>
              <w:rPr>
                <w:sz w:val="20"/>
                <w:szCs w:val="20"/>
                <w:color w:val="auto"/>
              </w:rPr>
            </w:pPr>
            <w:r>
              <w:rPr>
                <w:rFonts w:ascii="Times New Roman" w:cs="Times New Roman" w:eastAsia="Times New Roman" w:hAnsi="Times New Roman"/>
                <w:sz w:val="22"/>
                <w:szCs w:val="22"/>
                <w:color w:val="auto"/>
              </w:rPr>
              <w:t>options</w:t>
            </w:r>
          </w:p>
        </w:tc>
        <w:tc>
          <w:tcPr>
            <w:tcW w:w="218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86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rPr>
              <w:t>stock options</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2940" w:type="dxa"/>
            <w:vAlign w:val="bottom"/>
            <w:vMerge w:val="continue"/>
          </w:tcPr>
          <w:p>
            <w:pPr>
              <w:spacing w:after="0"/>
              <w:rPr>
                <w:sz w:val="5"/>
                <w:szCs w:val="5"/>
                <w:color w:val="auto"/>
              </w:rPr>
            </w:pPr>
          </w:p>
        </w:tc>
        <w:tc>
          <w:tcPr>
            <w:tcW w:w="21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28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-1283970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-384175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2"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The securities are being sold pursuant to a Rule 10b51 trading plan adopted on 9.2.2025.</w:t>
      </w:r>
    </w:p>
    <w:p>
      <w:pPr>
        <w:spacing w:after="0"/>
        <w:rPr>
          <w:sz w:val="20"/>
          <w:szCs w:val="20"/>
          <w:color w:val="auto"/>
        </w:rPr>
      </w:pPr>
      <w:r>
        <w:rPr>
          <w:rFonts w:ascii="Times New Roman" w:cs="Times New Roman" w:eastAsia="Times New Roman" w:hAnsi="Times New Roman"/>
          <w:sz w:val="22"/>
          <w:szCs w:val="22"/>
          <w:color w:val="auto"/>
        </w:rPr>
        <w:t>06/01/2026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09/02/2025</w:t>
      </w:r>
    </w:p>
    <w:p>
      <w:pPr>
        <w:spacing w:after="0" w:line="612" w:lineRule="exact"/>
        <w:rPr>
          <w:sz w:val="20"/>
          <w:szCs w:val="20"/>
          <w:color w:val="auto"/>
        </w:rPr>
      </w:pPr>
    </w:p>
    <w:p>
      <w:pPr>
        <w:sectPr>
          <w:pgSz w:w="11900" w:h="16838" w:orient="portrait"/>
          <w:cols w:equalWidth="0" w:num="2">
            <w:col w:w="4360" w:space="500"/>
            <w:col w:w="6380"/>
          </w:cols>
          <w:pgMar w:left="320" w:top="102"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2000"/>
              <w:spacing w:after="0"/>
              <w:rPr>
                <w:sz w:val="20"/>
                <w:szCs w:val="20"/>
                <w:color w:val="auto"/>
              </w:rPr>
            </w:pPr>
            <w:r>
              <w:rPr>
                <w:rFonts w:ascii="Times New Roman" w:cs="Times New Roman" w:eastAsia="Times New Roman" w:hAnsi="Times New Roman"/>
                <w:sz w:val="22"/>
                <w:szCs w:val="22"/>
                <w:color w:val="auto"/>
                <w:w w:val="97"/>
              </w:rPr>
              <w:t>Hedva Ber By: /s/ Netta Coehn: Authorized Signatory, Oppenheimer</w:t>
            </w:r>
          </w:p>
        </w:tc>
        <w:tc>
          <w:tcPr>
            <w:tcW w:w="0" w:type="dxa"/>
            <w:vAlign w:val="bottom"/>
          </w:tcPr>
          <w:p>
            <w:pPr>
              <w:spacing w:after="0"/>
              <w:rPr>
                <w:sz w:val="1"/>
                <w:szCs w:val="1"/>
                <w:color w:val="auto"/>
              </w:rPr>
            </w:pPr>
          </w:p>
        </w:tc>
      </w:tr>
      <w:tr>
        <w:trPr>
          <w:trHeight w:val="161"/>
        </w:trPr>
        <w:tc>
          <w:tcPr>
            <w:tcW w:w="2820" w:type="dxa"/>
            <w:vAlign w:val="bottom"/>
            <w:vMerge w:val="continue"/>
          </w:tcPr>
          <w:p>
            <w:pPr>
              <w:spacing w:after="0"/>
              <w:rPr>
                <w:sz w:val="13"/>
                <w:szCs w:val="13"/>
                <w:color w:val="auto"/>
              </w:rPr>
            </w:pPr>
          </w:p>
        </w:tc>
        <w:tc>
          <w:tcPr>
            <w:tcW w:w="7940" w:type="dxa"/>
            <w:vAlign w:val="bottom"/>
            <w:vMerge w:val="restart"/>
          </w:tcPr>
          <w:p>
            <w:pPr>
              <w:ind w:left="2000"/>
              <w:spacing w:after="0"/>
              <w:rPr>
                <w:sz w:val="20"/>
                <w:szCs w:val="20"/>
                <w:color w:val="auto"/>
              </w:rPr>
            </w:pPr>
            <w:r>
              <w:rPr>
                <w:rFonts w:ascii="Times New Roman" w:cs="Times New Roman" w:eastAsia="Times New Roman" w:hAnsi="Times New Roman"/>
                <w:sz w:val="22"/>
                <w:szCs w:val="22"/>
                <w:color w:val="auto"/>
              </w:rPr>
              <w:t>Israel (pursuant to delegation)</w:t>
            </w:r>
          </w:p>
        </w:tc>
        <w:tc>
          <w:tcPr>
            <w:tcW w:w="0" w:type="dxa"/>
            <w:vAlign w:val="bottom"/>
          </w:tcPr>
          <w:p>
            <w:pPr>
              <w:spacing w:after="0"/>
              <w:rPr>
                <w:sz w:val="1"/>
                <w:szCs w:val="1"/>
                <w:color w:val="auto"/>
              </w:rPr>
            </w:pPr>
          </w:p>
        </w:tc>
      </w:tr>
      <w:tr>
        <w:trPr>
          <w:trHeight w:val="121"/>
        </w:trPr>
        <w:tc>
          <w:tcPr>
            <w:tcW w:w="282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2026-06-01T06:00:35Z</dcterms:created>
  <dcterms:modified xsi:type="dcterms:W3CDTF">2026-06-01T06:00:35Z</dcterms:modified>
</cp:coreProperties>
</file>